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85B66">
      <w:pPr>
        <w:pStyle w:val="Heading3"/>
        <w:spacing w:line="345" w:lineRule="atLeast"/>
        <w:divId w:val="705253862"/>
        <w:rPr>
          <w:rFonts w:ascii="Arial" w:eastAsia="Times New Roman" w:hAnsi="Arial" w:cs="Arial"/>
          <w:color w:val="333333"/>
        </w:rPr>
      </w:pPr>
      <w:bookmarkStart w:id="0" w:name="_GoBack"/>
      <w:bookmarkEnd w:id="0"/>
      <w:r>
        <w:rPr>
          <w:rFonts w:ascii="Arial" w:eastAsia="Times New Roman" w:hAnsi="Arial" w:cs="Arial"/>
          <w:color w:val="333333"/>
        </w:rPr>
        <w:t>Oficiul Român pentru drepturile de autor - ORDA</w:t>
      </w:r>
    </w:p>
    <w:p w:rsidR="00000000" w:rsidRDefault="00985B66">
      <w:pPr>
        <w:pStyle w:val="Heading1"/>
        <w:divId w:val="705253862"/>
        <w:rPr>
          <w:rFonts w:eastAsia="Times New Roman" w:cs="Arial"/>
        </w:rPr>
      </w:pPr>
      <w:r>
        <w:rPr>
          <w:rFonts w:eastAsia="Times New Roman" w:cs="Arial"/>
        </w:rPr>
        <w:t xml:space="preserve">Decizia nr. </w:t>
      </w:r>
      <w:proofErr w:type="gramStart"/>
      <w:r>
        <w:rPr>
          <w:rFonts w:eastAsia="Times New Roman" w:cs="Arial"/>
        </w:rPr>
        <w:t>6/2026 privind modificarea, pe baza indicelui de inflaţie stabilit la nivel naţional, a remuneraţiilor cuvenite artiştilor interpreţi sau executanţi şi producătorilor de fonograme, prevăzute în tabelele din Metodologia privind remuneraţia dator</w:t>
      </w:r>
      <w:r>
        <w:rPr>
          <w:rFonts w:eastAsia="Times New Roman" w:cs="Arial"/>
        </w:rPr>
        <w:t>ată artiştilor interpreţi sau executanţi şi producătorilor de fonograme pentru comunicarea publică a fonogramelor de comerţ/fonogramelor publicate în scop comercial sau a reproducerilor acestora, precum şi/sau a prestaţiilor artistice din domeniul audioviz</w:t>
      </w:r>
      <w:r>
        <w:rPr>
          <w:rFonts w:eastAsia="Times New Roman" w:cs="Arial"/>
        </w:rPr>
        <w:t>ual, în scop ambiental şi lucrativ, şi tabelele cuprinzând drepturile patrimoniale ale artiştilor interpreţi sau executanţi pentru fonograme şi pentru audiovizual şi ale producătorilor de fonograme, prin gestiune colectivă obligatorie, prevăzută în Hotărâr</w:t>
      </w:r>
      <w:r>
        <w:rPr>
          <w:rFonts w:eastAsia="Times New Roman" w:cs="Arial"/>
        </w:rPr>
        <w:t>ea arbitrală nr.</w:t>
      </w:r>
      <w:proofErr w:type="gramEnd"/>
      <w:r>
        <w:rPr>
          <w:rFonts w:eastAsia="Times New Roman" w:cs="Arial"/>
        </w:rPr>
        <w:t xml:space="preserve"> 1 din 15 februarie 2016, publicată în Monitorul Oficial al României, Partea I, prin Decizia directorului general adjunct al Oficiului Român pentru Drepturile de Autor nr. 10/2016, astfel cum a fost modificată prin Decizia directorului gene</w:t>
      </w:r>
      <w:r>
        <w:rPr>
          <w:rFonts w:eastAsia="Times New Roman" w:cs="Arial"/>
        </w:rPr>
        <w:t xml:space="preserve">ral adjunct al Oficiului Român pentru Drepturile de Autor nr. </w:t>
      </w:r>
      <w:proofErr w:type="gramStart"/>
      <w:r>
        <w:rPr>
          <w:rFonts w:eastAsia="Times New Roman" w:cs="Arial"/>
        </w:rPr>
        <w:t>120/2016</w:t>
      </w:r>
      <w:proofErr w:type="gramEnd"/>
      <w:r>
        <w:rPr>
          <w:rFonts w:eastAsia="Times New Roman" w:cs="Arial"/>
        </w:rPr>
        <w:t xml:space="preserve"> privind publicarea în Monitorul Oficial al României, Partea I, a Deciziei civile nr. 784A din 26 octombrie 2016 a Curţii de Apel Bucureşti - Secţia </w:t>
      </w:r>
      <w:proofErr w:type="gramStart"/>
      <w:r>
        <w:rPr>
          <w:rFonts w:eastAsia="Times New Roman" w:cs="Arial"/>
        </w:rPr>
        <w:t>a</w:t>
      </w:r>
      <w:proofErr w:type="gramEnd"/>
      <w:r>
        <w:rPr>
          <w:rFonts w:eastAsia="Times New Roman" w:cs="Arial"/>
        </w:rPr>
        <w:t xml:space="preserve"> IV-a civilă, pronunţată în Dosarul </w:t>
      </w:r>
      <w:r>
        <w:rPr>
          <w:rFonts w:eastAsia="Times New Roman" w:cs="Arial"/>
        </w:rPr>
        <w:t xml:space="preserve">nr. 2.013/2/2016, precum şi cele stabilite prin Decizia directorului general al Oficiului Român pentru Drepturile de Autor nr. </w:t>
      </w:r>
      <w:proofErr w:type="gramStart"/>
      <w:r>
        <w:rPr>
          <w:rFonts w:eastAsia="Times New Roman" w:cs="Arial"/>
        </w:rPr>
        <w:t xml:space="preserve">99/2015 privind publicarea în Monitorul </w:t>
      </w:r>
      <w:r>
        <w:rPr>
          <w:rFonts w:eastAsia="Times New Roman" w:cs="Arial"/>
        </w:rPr>
        <w:lastRenderedPageBreak/>
        <w:t>Oficial al României, Partea I, a Protocolului încheiat în data de 22 septembrie 2015 într</w:t>
      </w:r>
      <w:r>
        <w:rPr>
          <w:rFonts w:eastAsia="Times New Roman" w:cs="Arial"/>
        </w:rPr>
        <w:t>e Uniunea Producătorilor de Fonograme din România (UPFR) şi Centrul Român pentru Administrarea Drepturilor Artiştilor Interpreţi (CREDIDAM), pe de o parte, şi Federaţia Patronală a Reţelelor de Comerţ (FPRC), Societatea Comercială Altex România - S.R.L. (A</w:t>
      </w:r>
      <w:r>
        <w:rPr>
          <w:rFonts w:eastAsia="Times New Roman" w:cs="Arial"/>
        </w:rPr>
        <w:t>LTEX) şi Societatea Comercială OMV Petrom Marketing - S.R.L. (OMV), pe de altă parte</w:t>
      </w:r>
      <w:proofErr w:type="gramEnd"/>
    </w:p>
    <w:p w:rsidR="00000000" w:rsidRDefault="00985B66">
      <w:pPr>
        <w:pStyle w:val="Heading3"/>
        <w:spacing w:line="345" w:lineRule="atLeast"/>
        <w:divId w:val="705253862"/>
        <w:rPr>
          <w:rFonts w:ascii="Arial" w:eastAsia="Times New Roman" w:hAnsi="Arial" w:cs="Arial"/>
          <w:color w:val="008000"/>
        </w:rPr>
      </w:pPr>
      <w:proofErr w:type="gramStart"/>
      <w:r>
        <w:rPr>
          <w:rFonts w:ascii="Arial" w:eastAsia="Times New Roman" w:hAnsi="Arial" w:cs="Arial"/>
          <w:color w:val="008000"/>
        </w:rPr>
        <w:t>Va</w:t>
      </w:r>
      <w:proofErr w:type="gramEnd"/>
      <w:r>
        <w:rPr>
          <w:rFonts w:ascii="Arial" w:eastAsia="Times New Roman" w:hAnsi="Arial" w:cs="Arial"/>
          <w:color w:val="008000"/>
        </w:rPr>
        <w:t xml:space="preserve"> intra în vigoare la 01 martie 2026</w:t>
      </w:r>
    </w:p>
    <w:p w:rsidR="00000000" w:rsidRDefault="00985B66">
      <w:pPr>
        <w:spacing w:line="345" w:lineRule="atLeast"/>
        <w:jc w:val="both"/>
        <w:divId w:val="705253862"/>
        <w:rPr>
          <w:rFonts w:ascii="Arial" w:eastAsia="Times New Roman" w:hAnsi="Arial" w:cs="Arial"/>
          <w:color w:val="333333"/>
          <w:sz w:val="21"/>
          <w:szCs w:val="21"/>
        </w:rPr>
      </w:pPr>
      <w:r>
        <w:rPr>
          <w:rFonts w:ascii="Arial" w:eastAsia="Times New Roman" w:hAnsi="Arial" w:cs="Arial"/>
          <w:color w:val="333333"/>
          <w:sz w:val="21"/>
          <w:szCs w:val="21"/>
        </w:rPr>
        <w:t xml:space="preserve">Publicat în Monitorul Oficial, Partea I nr. </w:t>
      </w:r>
      <w:proofErr w:type="gramStart"/>
      <w:r>
        <w:rPr>
          <w:rFonts w:ascii="Arial" w:eastAsia="Times New Roman" w:hAnsi="Arial" w:cs="Arial"/>
          <w:color w:val="333333"/>
          <w:sz w:val="21"/>
          <w:szCs w:val="21"/>
        </w:rPr>
        <w:t>108</w:t>
      </w:r>
      <w:proofErr w:type="gramEnd"/>
      <w:r>
        <w:rPr>
          <w:rFonts w:ascii="Arial" w:eastAsia="Times New Roman" w:hAnsi="Arial" w:cs="Arial"/>
          <w:color w:val="333333"/>
          <w:sz w:val="21"/>
          <w:szCs w:val="21"/>
        </w:rPr>
        <w:t xml:space="preserve"> din 10 februarie 2026. Formă aplicabilă din</w:t>
      </w:r>
      <w:r>
        <w:rPr>
          <w:rFonts w:ascii="Arial" w:eastAsia="Times New Roman" w:hAnsi="Arial" w:cs="Arial"/>
          <w:color w:val="333333"/>
          <w:sz w:val="21"/>
          <w:szCs w:val="21"/>
        </w:rPr>
        <w:t xml:space="preserve"> </w:t>
      </w:r>
      <w:r>
        <w:rPr>
          <w:rStyle w:val="js-calendar1"/>
          <w:rFonts w:ascii="Arial" w:eastAsia="Times New Roman" w:hAnsi="Arial" w:cs="Arial"/>
          <w:sz w:val="21"/>
          <w:szCs w:val="21"/>
        </w:rPr>
        <w:t>01 martie 202</w:t>
      </w:r>
      <w:r>
        <w:rPr>
          <w:rStyle w:val="js-calendar1"/>
          <w:rFonts w:ascii="Arial" w:eastAsia="Times New Roman" w:hAnsi="Arial" w:cs="Arial"/>
          <w:sz w:val="21"/>
          <w:szCs w:val="21"/>
        </w:rPr>
        <w:t>6</w:t>
      </w:r>
      <w:r>
        <w:rPr>
          <w:rFonts w:ascii="Arial" w:eastAsia="Times New Roman" w:hAnsi="Arial" w:cs="Arial"/>
          <w:color w:val="333333"/>
          <w:sz w:val="21"/>
          <w:szCs w:val="21"/>
        </w:rPr>
        <w:t>.</w:t>
      </w:r>
    </w:p>
    <w:p w:rsidR="00000000" w:rsidRDefault="00985B66">
      <w:pPr>
        <w:pStyle w:val="al"/>
        <w:spacing w:line="345" w:lineRule="atLeast"/>
        <w:rPr>
          <w:rFonts w:ascii="Arial" w:hAnsi="Arial" w:cs="Arial"/>
          <w:color w:val="333333"/>
          <w:sz w:val="21"/>
          <w:szCs w:val="21"/>
        </w:rPr>
      </w:pPr>
      <w:r>
        <w:rPr>
          <w:rFonts w:ascii="Arial" w:hAnsi="Arial" w:cs="Arial"/>
          <w:color w:val="333333"/>
          <w:sz w:val="21"/>
          <w:szCs w:val="21"/>
        </w:rPr>
        <w:t>În conformitate cu dispoz</w:t>
      </w:r>
      <w:r>
        <w:rPr>
          <w:rFonts w:ascii="Arial" w:hAnsi="Arial" w:cs="Arial"/>
          <w:color w:val="333333"/>
          <w:sz w:val="21"/>
          <w:szCs w:val="21"/>
        </w:rPr>
        <w:t xml:space="preserve">iţiile </w:t>
      </w:r>
      <w:hyperlink r:id="rId4" w:anchor="p-260819394" w:tgtFrame="_blank" w:history="1">
        <w:r>
          <w:rPr>
            <w:rStyle w:val="Hyperlink"/>
            <w:rFonts w:ascii="Arial" w:hAnsi="Arial" w:cs="Arial"/>
            <w:sz w:val="21"/>
            <w:szCs w:val="21"/>
          </w:rPr>
          <w:t xml:space="preserve">art. </w:t>
        </w:r>
        <w:proofErr w:type="gramStart"/>
        <w:r>
          <w:rPr>
            <w:rStyle w:val="Hyperlink"/>
            <w:rFonts w:ascii="Arial" w:hAnsi="Arial" w:cs="Arial"/>
            <w:sz w:val="21"/>
            <w:szCs w:val="21"/>
          </w:rPr>
          <w:t>167</w:t>
        </w:r>
      </w:hyperlink>
      <w:r>
        <w:rPr>
          <w:rFonts w:ascii="Arial" w:hAnsi="Arial" w:cs="Arial"/>
          <w:color w:val="333333"/>
          <w:sz w:val="21"/>
          <w:szCs w:val="21"/>
        </w:rPr>
        <w:t xml:space="preserve"> şi</w:t>
      </w:r>
      <w:proofErr w:type="gramEnd"/>
      <w:r>
        <w:rPr>
          <w:rFonts w:ascii="Arial" w:hAnsi="Arial" w:cs="Arial"/>
          <w:color w:val="333333"/>
          <w:sz w:val="21"/>
          <w:szCs w:val="21"/>
        </w:rPr>
        <w:t xml:space="preserve"> ale art. </w:t>
      </w:r>
      <w:proofErr w:type="gramStart"/>
      <w:r>
        <w:rPr>
          <w:rFonts w:ascii="Arial" w:hAnsi="Arial" w:cs="Arial"/>
          <w:color w:val="333333"/>
          <w:sz w:val="21"/>
          <w:szCs w:val="21"/>
        </w:rPr>
        <w:t>181</w:t>
      </w:r>
      <w:proofErr w:type="gramEnd"/>
      <w:r>
        <w:rPr>
          <w:rFonts w:ascii="Arial" w:hAnsi="Arial" w:cs="Arial"/>
          <w:color w:val="333333"/>
          <w:sz w:val="21"/>
          <w:szCs w:val="21"/>
        </w:rPr>
        <w:t xml:space="preserve"> alin. (1) </w:t>
      </w:r>
      <w:hyperlink r:id="rId5" w:anchor="p-260819563" w:tgtFrame="_blank" w:history="1">
        <w:proofErr w:type="gramStart"/>
        <w:r>
          <w:rPr>
            <w:rStyle w:val="Hyperlink"/>
            <w:rFonts w:ascii="Arial" w:hAnsi="Arial" w:cs="Arial"/>
            <w:sz w:val="21"/>
            <w:szCs w:val="21"/>
          </w:rPr>
          <w:t>lit</w:t>
        </w:r>
        <w:proofErr w:type="gramEnd"/>
        <w:r>
          <w:rPr>
            <w:rStyle w:val="Hyperlink"/>
            <w:rFonts w:ascii="Arial" w:hAnsi="Arial" w:cs="Arial"/>
            <w:sz w:val="21"/>
            <w:szCs w:val="21"/>
          </w:rPr>
          <w:t>. a)</w:t>
        </w:r>
      </w:hyperlink>
      <w:r>
        <w:rPr>
          <w:rFonts w:ascii="Arial" w:hAnsi="Arial" w:cs="Arial"/>
          <w:color w:val="333333"/>
          <w:sz w:val="21"/>
          <w:szCs w:val="21"/>
        </w:rPr>
        <w:t xml:space="preserve"> </w:t>
      </w:r>
      <w:proofErr w:type="gramStart"/>
      <w:r>
        <w:rPr>
          <w:rFonts w:ascii="Arial" w:hAnsi="Arial" w:cs="Arial"/>
          <w:color w:val="333333"/>
          <w:sz w:val="21"/>
          <w:szCs w:val="21"/>
        </w:rPr>
        <w:t>din</w:t>
      </w:r>
      <w:proofErr w:type="gramEnd"/>
      <w:r>
        <w:rPr>
          <w:rFonts w:ascii="Arial" w:hAnsi="Arial" w:cs="Arial"/>
          <w:color w:val="333333"/>
          <w:sz w:val="21"/>
          <w:szCs w:val="21"/>
        </w:rPr>
        <w:t xml:space="preserve"> Legea nr. 8/1996 privind dreptul de autor şi drepturile conexe, republicată, cu modificările şi completări</w:t>
      </w:r>
      <w:r>
        <w:rPr>
          <w:rFonts w:ascii="Arial" w:hAnsi="Arial" w:cs="Arial"/>
          <w:color w:val="333333"/>
          <w:sz w:val="21"/>
          <w:szCs w:val="21"/>
        </w:rPr>
        <w:t>le ulterioare</w:t>
      </w:r>
      <w:r>
        <w:rPr>
          <w:rFonts w:ascii="Arial" w:hAnsi="Arial" w:cs="Arial"/>
          <w:color w:val="333333"/>
          <w:sz w:val="21"/>
          <w:szCs w:val="21"/>
        </w:rPr>
        <w:t>,</w:t>
      </w:r>
    </w:p>
    <w:p w:rsidR="00000000" w:rsidRDefault="00985B66">
      <w:pPr>
        <w:pStyle w:val="al"/>
        <w:spacing w:line="345" w:lineRule="atLeast"/>
        <w:rPr>
          <w:rFonts w:ascii="Arial" w:hAnsi="Arial" w:cs="Arial"/>
          <w:color w:val="333333"/>
          <w:sz w:val="21"/>
          <w:szCs w:val="21"/>
        </w:rPr>
      </w:pPr>
      <w:proofErr w:type="gramStart"/>
      <w:r>
        <w:rPr>
          <w:rFonts w:ascii="Arial" w:hAnsi="Arial" w:cs="Arial"/>
          <w:color w:val="333333"/>
          <w:sz w:val="21"/>
          <w:szCs w:val="21"/>
        </w:rPr>
        <w:t>având</w:t>
      </w:r>
      <w:proofErr w:type="gramEnd"/>
      <w:r>
        <w:rPr>
          <w:rFonts w:ascii="Arial" w:hAnsi="Arial" w:cs="Arial"/>
          <w:color w:val="333333"/>
          <w:sz w:val="21"/>
          <w:szCs w:val="21"/>
        </w:rPr>
        <w:t xml:space="preserve"> în vedere</w:t>
      </w:r>
      <w:r>
        <w:rPr>
          <w:rFonts w:ascii="Arial" w:hAnsi="Arial" w:cs="Arial"/>
          <w:color w:val="333333"/>
          <w:sz w:val="21"/>
          <w:szCs w:val="21"/>
        </w:rPr>
        <w:t>:</w:t>
      </w:r>
    </w:p>
    <w:p w:rsidR="00000000" w:rsidRDefault="00985B66">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 xml:space="preserve"> Adresa emisă de Centrul Român pentru Administrarea Drepturilor Artiştilor Interpreţi - CREDIDAM şi Uniunea Producătorilor de Fonograme din România - Asociaţia pentru Drepturi Conexe - UPFR, înregistrată la Oficiul Român pe</w:t>
      </w:r>
      <w:r>
        <w:rPr>
          <w:rFonts w:ascii="Arial" w:hAnsi="Arial" w:cs="Arial"/>
          <w:color w:val="333333"/>
          <w:sz w:val="21"/>
          <w:szCs w:val="21"/>
        </w:rPr>
        <w:t>ntru Drepturile de Autor (ORDA) cu nr. RGII/283 din 26.01.2026</w:t>
      </w:r>
      <w:r>
        <w:rPr>
          <w:rFonts w:ascii="Arial" w:hAnsi="Arial" w:cs="Arial"/>
          <w:color w:val="333333"/>
          <w:sz w:val="21"/>
          <w:szCs w:val="21"/>
        </w:rPr>
        <w:t>;</w:t>
      </w:r>
    </w:p>
    <w:p w:rsidR="00000000" w:rsidRDefault="00985B66">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 xml:space="preserve"> Referatul Direcţiei gestiune colectivă, expertize şi constatări nr. RGII/399 din 2.02.2026</w:t>
      </w:r>
      <w:r>
        <w:rPr>
          <w:rFonts w:ascii="Arial" w:hAnsi="Arial" w:cs="Arial"/>
          <w:color w:val="333333"/>
          <w:sz w:val="21"/>
          <w:szCs w:val="21"/>
        </w:rPr>
        <w:t>,</w:t>
      </w:r>
    </w:p>
    <w:p w:rsidR="00000000" w:rsidRDefault="00985B66">
      <w:pPr>
        <w:pStyle w:val="al"/>
        <w:spacing w:line="345" w:lineRule="atLeast"/>
        <w:rPr>
          <w:rFonts w:ascii="Arial" w:hAnsi="Arial" w:cs="Arial"/>
          <w:color w:val="333333"/>
          <w:sz w:val="21"/>
          <w:szCs w:val="21"/>
        </w:rPr>
      </w:pPr>
      <w:proofErr w:type="gramStart"/>
      <w:r>
        <w:rPr>
          <w:rFonts w:ascii="Arial" w:hAnsi="Arial" w:cs="Arial"/>
          <w:color w:val="333333"/>
          <w:sz w:val="21"/>
          <w:szCs w:val="21"/>
        </w:rPr>
        <w:t>în</w:t>
      </w:r>
      <w:proofErr w:type="gramEnd"/>
      <w:r>
        <w:rPr>
          <w:rFonts w:ascii="Arial" w:hAnsi="Arial" w:cs="Arial"/>
          <w:color w:val="333333"/>
          <w:sz w:val="21"/>
          <w:szCs w:val="21"/>
        </w:rPr>
        <w:t xml:space="preserve"> temeiul prevederilor art. </w:t>
      </w:r>
      <w:proofErr w:type="gramStart"/>
      <w:r>
        <w:rPr>
          <w:rFonts w:ascii="Arial" w:hAnsi="Arial" w:cs="Arial"/>
          <w:color w:val="333333"/>
          <w:sz w:val="21"/>
          <w:szCs w:val="21"/>
        </w:rPr>
        <w:t>7</w:t>
      </w:r>
      <w:proofErr w:type="gramEnd"/>
      <w:r>
        <w:rPr>
          <w:rFonts w:ascii="Arial" w:hAnsi="Arial" w:cs="Arial"/>
          <w:color w:val="333333"/>
          <w:sz w:val="21"/>
          <w:szCs w:val="21"/>
        </w:rPr>
        <w:t xml:space="preserve"> </w:t>
      </w:r>
      <w:hyperlink r:id="rId6" w:anchor="p-11529021" w:tgtFrame="_blank" w:history="1">
        <w:r>
          <w:rPr>
            <w:rStyle w:val="Hyperlink"/>
            <w:rFonts w:ascii="Arial" w:hAnsi="Arial" w:cs="Arial"/>
            <w:sz w:val="21"/>
            <w:szCs w:val="21"/>
          </w:rPr>
          <w:t>alin. (3)</w:t>
        </w:r>
      </w:hyperlink>
      <w:r>
        <w:rPr>
          <w:rFonts w:ascii="Arial" w:hAnsi="Arial" w:cs="Arial"/>
          <w:color w:val="333333"/>
          <w:sz w:val="21"/>
          <w:szCs w:val="21"/>
        </w:rPr>
        <w:t xml:space="preserve"> </w:t>
      </w:r>
      <w:proofErr w:type="gramStart"/>
      <w:r>
        <w:rPr>
          <w:rFonts w:ascii="Arial" w:hAnsi="Arial" w:cs="Arial"/>
          <w:color w:val="333333"/>
          <w:sz w:val="21"/>
          <w:szCs w:val="21"/>
        </w:rPr>
        <w:t>din</w:t>
      </w:r>
      <w:proofErr w:type="gramEnd"/>
      <w:r>
        <w:rPr>
          <w:rFonts w:ascii="Arial" w:hAnsi="Arial" w:cs="Arial"/>
          <w:color w:val="333333"/>
          <w:sz w:val="21"/>
          <w:szCs w:val="21"/>
        </w:rPr>
        <w:t xml:space="preserve"> Hotărârea Guvernului nr. 401/2006</w:t>
      </w:r>
      <w:r>
        <w:rPr>
          <w:rFonts w:ascii="Arial" w:hAnsi="Arial" w:cs="Arial"/>
          <w:color w:val="333333"/>
          <w:sz w:val="21"/>
          <w:szCs w:val="21"/>
        </w:rPr>
        <w:t xml:space="preserve"> privind organizarea, funcţionarea, structura personalului şi dotările necesare îndeplinirii atribuţiilor Oficiului Român pentru Drepturile de Autor, cu modificările ulterioare</w:t>
      </w:r>
      <w:r>
        <w:rPr>
          <w:rFonts w:ascii="Arial" w:hAnsi="Arial" w:cs="Arial"/>
          <w:color w:val="333333"/>
          <w:sz w:val="21"/>
          <w:szCs w:val="21"/>
        </w:rPr>
        <w:t>,</w:t>
      </w:r>
    </w:p>
    <w:p w:rsidR="00000000" w:rsidRDefault="00985B66">
      <w:pPr>
        <w:spacing w:line="345" w:lineRule="atLeast"/>
        <w:jc w:val="both"/>
        <w:rPr>
          <w:rFonts w:ascii="Arial" w:eastAsia="Times New Roman" w:hAnsi="Arial" w:cs="Arial"/>
          <w:color w:val="333333"/>
          <w:sz w:val="21"/>
          <w:szCs w:val="21"/>
        </w:rPr>
      </w:pPr>
      <w:proofErr w:type="gramStart"/>
      <w:r>
        <w:rPr>
          <w:rFonts w:ascii="Arial" w:eastAsia="Times New Roman" w:hAnsi="Arial" w:cs="Arial"/>
          <w:color w:val="333333"/>
          <w:sz w:val="21"/>
          <w:szCs w:val="21"/>
        </w:rPr>
        <w:t>directorul</w:t>
      </w:r>
      <w:proofErr w:type="gramEnd"/>
      <w:r>
        <w:rPr>
          <w:rFonts w:ascii="Arial" w:eastAsia="Times New Roman" w:hAnsi="Arial" w:cs="Arial"/>
          <w:color w:val="333333"/>
          <w:sz w:val="21"/>
          <w:szCs w:val="21"/>
        </w:rPr>
        <w:t xml:space="preserve"> general al Oficiului Român pentru Drepturile de Autor emite prezent</w:t>
      </w:r>
      <w:r>
        <w:rPr>
          <w:rFonts w:ascii="Arial" w:eastAsia="Times New Roman" w:hAnsi="Arial" w:cs="Arial"/>
          <w:color w:val="333333"/>
          <w:sz w:val="21"/>
          <w:szCs w:val="21"/>
        </w:rPr>
        <w:t>a decizie</w:t>
      </w:r>
      <w:r>
        <w:rPr>
          <w:rFonts w:ascii="Arial" w:eastAsia="Times New Roman" w:hAnsi="Arial" w:cs="Arial"/>
          <w:color w:val="333333"/>
          <w:sz w:val="21"/>
          <w:szCs w:val="21"/>
        </w:rPr>
        <w:t>.</w:t>
      </w:r>
    </w:p>
    <w:p w:rsidR="00000000" w:rsidRDefault="00985B6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w:t>
      </w:r>
      <w:proofErr w:type="gramStart"/>
      <w:r>
        <w:rPr>
          <w:rFonts w:ascii="Arial" w:hAnsi="Arial" w:cs="Arial"/>
          <w:b/>
          <w:bCs/>
          <w:color w:val="333333"/>
          <w:sz w:val="21"/>
          <w:szCs w:val="21"/>
        </w:rPr>
        <w:t>1. -</w:t>
      </w:r>
      <w:r>
        <w:rPr>
          <w:rFonts w:ascii="Arial" w:hAnsi="Arial" w:cs="Arial"/>
          <w:b/>
          <w:bCs/>
          <w:color w:val="333333"/>
          <w:sz w:val="21"/>
          <w:szCs w:val="21"/>
        </w:rPr>
        <w:t xml:space="preserve"> </w:t>
      </w:r>
      <w:r>
        <w:rPr>
          <w:rFonts w:ascii="Arial" w:hAnsi="Arial" w:cs="Arial"/>
          <w:color w:val="333333"/>
          <w:sz w:val="21"/>
          <w:szCs w:val="21"/>
        </w:rPr>
        <w:t>Se modifică, pe baza indicelui de inflaţie stabilit la nivel naţional, remuneraţiile cuvenite artiştilor interpreţi sau executanţi şi producătorilor de fonograme, prevăzute în tabelele din Metodologia privind remuneraţia datorată artiş</w:t>
      </w:r>
      <w:r>
        <w:rPr>
          <w:rFonts w:ascii="Arial" w:hAnsi="Arial" w:cs="Arial"/>
          <w:color w:val="333333"/>
          <w:sz w:val="21"/>
          <w:szCs w:val="21"/>
        </w:rPr>
        <w:t>tilor interpreţi sau executanţi şi producătorilor de fonograme pentru comunicarea publică a fonogramelor de comerţ/fonogramelor publicate în scop comercial sau a reproducerilor acestora, precum şi/sau a prestaţiilor artistice din domeniul audiovizual, în s</w:t>
      </w:r>
      <w:r>
        <w:rPr>
          <w:rFonts w:ascii="Arial" w:hAnsi="Arial" w:cs="Arial"/>
          <w:color w:val="333333"/>
          <w:sz w:val="21"/>
          <w:szCs w:val="21"/>
        </w:rPr>
        <w:t>cop ambiental şi lucrativ, şi tabelele cuprinzând drepturile patrimoniale ale artiştilor interpreţi sau executanţi pentru fonograme şi pentru audiovizual şi ale producătorilor de fonograme, prin gestiune colectivă obligatorie, prevăzută în Hotărârea arbitr</w:t>
      </w:r>
      <w:r>
        <w:rPr>
          <w:rFonts w:ascii="Arial" w:hAnsi="Arial" w:cs="Arial"/>
          <w:color w:val="333333"/>
          <w:sz w:val="21"/>
          <w:szCs w:val="21"/>
        </w:rPr>
        <w:t>ală nr.</w:t>
      </w:r>
      <w:proofErr w:type="gramEnd"/>
      <w:r>
        <w:rPr>
          <w:rFonts w:ascii="Arial" w:hAnsi="Arial" w:cs="Arial"/>
          <w:color w:val="333333"/>
          <w:sz w:val="21"/>
          <w:szCs w:val="21"/>
        </w:rPr>
        <w:t xml:space="preserve"> </w:t>
      </w:r>
      <w:proofErr w:type="gramStart"/>
      <w:r>
        <w:rPr>
          <w:rFonts w:ascii="Arial" w:hAnsi="Arial" w:cs="Arial"/>
          <w:color w:val="333333"/>
          <w:sz w:val="21"/>
          <w:szCs w:val="21"/>
        </w:rPr>
        <w:t>1</w:t>
      </w:r>
      <w:proofErr w:type="gramEnd"/>
      <w:r>
        <w:rPr>
          <w:rFonts w:ascii="Arial" w:hAnsi="Arial" w:cs="Arial"/>
          <w:color w:val="333333"/>
          <w:sz w:val="21"/>
          <w:szCs w:val="21"/>
        </w:rPr>
        <w:t xml:space="preserve"> din 15 februarie 2016, publicată prin Decizia directorului general adjunct al Oficiului Român pentru Drepturile de Autor nr. </w:t>
      </w:r>
      <w:r>
        <w:rPr>
          <w:rFonts w:ascii="Arial" w:hAnsi="Arial" w:cs="Arial"/>
          <w:color w:val="333333"/>
          <w:sz w:val="21"/>
          <w:szCs w:val="21"/>
        </w:rPr>
        <w:lastRenderedPageBreak/>
        <w:t xml:space="preserve">10/2016 în Monitorul Oficial al României, Partea I, nr. </w:t>
      </w:r>
      <w:proofErr w:type="gramStart"/>
      <w:r>
        <w:rPr>
          <w:rFonts w:ascii="Arial" w:hAnsi="Arial" w:cs="Arial"/>
          <w:color w:val="333333"/>
          <w:sz w:val="21"/>
          <w:szCs w:val="21"/>
        </w:rPr>
        <w:t>146</w:t>
      </w:r>
      <w:proofErr w:type="gramEnd"/>
      <w:r>
        <w:rPr>
          <w:rFonts w:ascii="Arial" w:hAnsi="Arial" w:cs="Arial"/>
          <w:color w:val="333333"/>
          <w:sz w:val="21"/>
          <w:szCs w:val="21"/>
        </w:rPr>
        <w:t xml:space="preserve"> din 25 februarie 2016, astfel cum a fost modificată prin Deci</w:t>
      </w:r>
      <w:r>
        <w:rPr>
          <w:rFonts w:ascii="Arial" w:hAnsi="Arial" w:cs="Arial"/>
          <w:color w:val="333333"/>
          <w:sz w:val="21"/>
          <w:szCs w:val="21"/>
        </w:rPr>
        <w:t xml:space="preserve">zia directorului general adjunct al Oficiului Român pentru Drepturile de Autor nr. </w:t>
      </w:r>
      <w:proofErr w:type="gramStart"/>
      <w:r>
        <w:rPr>
          <w:rFonts w:ascii="Arial" w:hAnsi="Arial" w:cs="Arial"/>
          <w:color w:val="333333"/>
          <w:sz w:val="21"/>
          <w:szCs w:val="21"/>
        </w:rPr>
        <w:t>120/2016</w:t>
      </w:r>
      <w:proofErr w:type="gramEnd"/>
      <w:r>
        <w:rPr>
          <w:rFonts w:ascii="Arial" w:hAnsi="Arial" w:cs="Arial"/>
          <w:color w:val="333333"/>
          <w:sz w:val="21"/>
          <w:szCs w:val="21"/>
        </w:rPr>
        <w:t xml:space="preserve"> privind publicarea în Monitorul Oficial al României, Partea I, a Deciziei civile nr. 784A din 26 octombrie 2016 a Curţii de Apel Bucureşti - Secţia </w:t>
      </w:r>
      <w:proofErr w:type="gramStart"/>
      <w:r>
        <w:rPr>
          <w:rFonts w:ascii="Arial" w:hAnsi="Arial" w:cs="Arial"/>
          <w:color w:val="333333"/>
          <w:sz w:val="21"/>
          <w:szCs w:val="21"/>
        </w:rPr>
        <w:t>a</w:t>
      </w:r>
      <w:proofErr w:type="gramEnd"/>
      <w:r>
        <w:rPr>
          <w:rFonts w:ascii="Arial" w:hAnsi="Arial" w:cs="Arial"/>
          <w:color w:val="333333"/>
          <w:sz w:val="21"/>
          <w:szCs w:val="21"/>
        </w:rPr>
        <w:t xml:space="preserve"> IV-a civilă, p</w:t>
      </w:r>
      <w:r>
        <w:rPr>
          <w:rFonts w:ascii="Arial" w:hAnsi="Arial" w:cs="Arial"/>
          <w:color w:val="333333"/>
          <w:sz w:val="21"/>
          <w:szCs w:val="21"/>
        </w:rPr>
        <w:t xml:space="preserve">ronunţată în Dosarul nr. 2.013/2/2016, precum şi cele stabilite prin Decizia directorului general al Oficiului Român pentru Drepturile de Autor nr. </w:t>
      </w:r>
      <w:proofErr w:type="gramStart"/>
      <w:r>
        <w:rPr>
          <w:rFonts w:ascii="Arial" w:hAnsi="Arial" w:cs="Arial"/>
          <w:color w:val="333333"/>
          <w:sz w:val="21"/>
          <w:szCs w:val="21"/>
        </w:rPr>
        <w:t>99/2015 privind publicarea în Monitorul Oficial al României, Partea I, a Protocolului încheiat în data de 22</w:t>
      </w:r>
      <w:r>
        <w:rPr>
          <w:rFonts w:ascii="Arial" w:hAnsi="Arial" w:cs="Arial"/>
          <w:color w:val="333333"/>
          <w:sz w:val="21"/>
          <w:szCs w:val="21"/>
        </w:rPr>
        <w:t xml:space="preserve"> septembrie 2015 între Uniunea Producătorilor de Fonograme din România (UPFR) şi Centrul Român pentru Administrarea Drepturilor Artiştilor Interpreţi (CREDIDAM), pe de o parte, şi Federaţia Patronală a Reţelelor de Comerţ (FPRC), Societatea Comercială Alte</w:t>
      </w:r>
      <w:r>
        <w:rPr>
          <w:rFonts w:ascii="Arial" w:hAnsi="Arial" w:cs="Arial"/>
          <w:color w:val="333333"/>
          <w:sz w:val="21"/>
          <w:szCs w:val="21"/>
        </w:rPr>
        <w:t>x România - S.R.L. (ALTEX) şi Societatea Comercială OMV Petrom Marketing - S.R.L. (OMV), pe de altă parte, conform anexei care face parte integrantă din prezenta decizie</w:t>
      </w:r>
      <w:r>
        <w:rPr>
          <w:rFonts w:ascii="Arial" w:hAnsi="Arial" w:cs="Arial"/>
          <w:color w:val="333333"/>
          <w:sz w:val="21"/>
          <w:szCs w:val="21"/>
        </w:rPr>
        <w:t>.</w:t>
      </w:r>
      <w:proofErr w:type="gramEnd"/>
    </w:p>
    <w:p w:rsidR="00000000" w:rsidRDefault="00985B66">
      <w:pPr>
        <w:pStyle w:val="al"/>
        <w:spacing w:line="345" w:lineRule="atLeast"/>
        <w:rPr>
          <w:rFonts w:ascii="Arial" w:hAnsi="Arial" w:cs="Arial"/>
          <w:color w:val="333333"/>
          <w:sz w:val="21"/>
          <w:szCs w:val="21"/>
        </w:rPr>
      </w:pPr>
      <w:r>
        <w:rPr>
          <w:rFonts w:ascii="Arial" w:hAnsi="Arial" w:cs="Arial"/>
          <w:b/>
          <w:bCs/>
          <w:color w:val="333333"/>
          <w:sz w:val="21"/>
          <w:szCs w:val="21"/>
        </w:rPr>
        <w:t>Art. 2. -</w:t>
      </w:r>
      <w:r>
        <w:rPr>
          <w:rFonts w:ascii="Arial" w:hAnsi="Arial" w:cs="Arial"/>
          <w:b/>
          <w:bCs/>
          <w:color w:val="333333"/>
          <w:sz w:val="21"/>
          <w:szCs w:val="21"/>
        </w:rPr>
        <w:t xml:space="preserve"> </w:t>
      </w:r>
      <w:r>
        <w:rPr>
          <w:rFonts w:ascii="Arial" w:hAnsi="Arial" w:cs="Arial"/>
          <w:color w:val="333333"/>
          <w:sz w:val="21"/>
          <w:szCs w:val="21"/>
        </w:rPr>
        <w:t>De la data intrării în vigoare a prezentei decizii, Decizia directorului ge</w:t>
      </w:r>
      <w:r>
        <w:rPr>
          <w:rFonts w:ascii="Arial" w:hAnsi="Arial" w:cs="Arial"/>
          <w:color w:val="333333"/>
          <w:sz w:val="21"/>
          <w:szCs w:val="21"/>
        </w:rPr>
        <w:t xml:space="preserve">neral al Oficiului Român pentru Drepturile de Autor </w:t>
      </w:r>
      <w:hyperlink r:id="rId7" w:tgtFrame="_blank" w:history="1">
        <w:r>
          <w:rPr>
            <w:rStyle w:val="Hyperlink"/>
            <w:rFonts w:ascii="Arial" w:hAnsi="Arial" w:cs="Arial"/>
            <w:sz w:val="21"/>
            <w:szCs w:val="21"/>
          </w:rPr>
          <w:t xml:space="preserve">nr. </w:t>
        </w:r>
        <w:proofErr w:type="gramStart"/>
        <w:r>
          <w:rPr>
            <w:rStyle w:val="Hyperlink"/>
            <w:rFonts w:ascii="Arial" w:hAnsi="Arial" w:cs="Arial"/>
            <w:sz w:val="21"/>
            <w:szCs w:val="21"/>
          </w:rPr>
          <w:t>43/2025</w:t>
        </w:r>
      </w:hyperlink>
      <w:r>
        <w:rPr>
          <w:rFonts w:ascii="Arial" w:hAnsi="Arial" w:cs="Arial"/>
          <w:color w:val="333333"/>
          <w:sz w:val="21"/>
          <w:szCs w:val="21"/>
        </w:rPr>
        <w:t xml:space="preserve"> privind modificarea, pe baza indicelui de inflaţie stabilit la nivel naţional, a remuneraţiilor cuvenite artiştilor interpreţi sau executanţi şi producătorilor de </w:t>
      </w:r>
      <w:r>
        <w:rPr>
          <w:rFonts w:ascii="Arial" w:hAnsi="Arial" w:cs="Arial"/>
          <w:color w:val="333333"/>
          <w:sz w:val="21"/>
          <w:szCs w:val="21"/>
        </w:rPr>
        <w:t>fonograme, prevăzute în tabelele din Metodologia privind remuneraţia datorată artiştilor interpreţi sau executanţi şi producătorilor de fonograme pentru comunicarea publică a fonogramelor de comerţ/fonogramelor publicate în scop comercial sau a reproduceri</w:t>
      </w:r>
      <w:r>
        <w:rPr>
          <w:rFonts w:ascii="Arial" w:hAnsi="Arial" w:cs="Arial"/>
          <w:color w:val="333333"/>
          <w:sz w:val="21"/>
          <w:szCs w:val="21"/>
        </w:rPr>
        <w:t>lor acestora, precum şi/sau a prestaţiilor artistice din domeniul audiovizual, în scop ambiental şi lucrativ, şi tabelele cuprinzând drepturile patrimoniale ale artiştilor interpreţi sau executanţi pentru fonograme şi pentru audiovizual şi ale producătoril</w:t>
      </w:r>
      <w:r>
        <w:rPr>
          <w:rFonts w:ascii="Arial" w:hAnsi="Arial" w:cs="Arial"/>
          <w:color w:val="333333"/>
          <w:sz w:val="21"/>
          <w:szCs w:val="21"/>
        </w:rPr>
        <w:t>or de fonograme, prin gestiune colectivă obligatorie, prevăzută în Hotărârea arbitrală nr.</w:t>
      </w:r>
      <w:proofErr w:type="gramEnd"/>
      <w:r>
        <w:rPr>
          <w:rFonts w:ascii="Arial" w:hAnsi="Arial" w:cs="Arial"/>
          <w:color w:val="333333"/>
          <w:sz w:val="21"/>
          <w:szCs w:val="21"/>
        </w:rPr>
        <w:t xml:space="preserve"> 1 din 15 februarie 2016, publicată în Monitorul Oficial al României, Partea I, prin Decizia directorului general adjunct al Oficiului Român pentru Drepturile de Auto</w:t>
      </w:r>
      <w:r>
        <w:rPr>
          <w:rFonts w:ascii="Arial" w:hAnsi="Arial" w:cs="Arial"/>
          <w:color w:val="333333"/>
          <w:sz w:val="21"/>
          <w:szCs w:val="21"/>
        </w:rPr>
        <w:t xml:space="preserve">r nr. 10/2016, astfel cum a fost modificată prin Decizia directorului general adjunct al Oficiului Român pentru Drepturile de Autor nr. </w:t>
      </w:r>
      <w:proofErr w:type="gramStart"/>
      <w:r>
        <w:rPr>
          <w:rFonts w:ascii="Arial" w:hAnsi="Arial" w:cs="Arial"/>
          <w:color w:val="333333"/>
          <w:sz w:val="21"/>
          <w:szCs w:val="21"/>
        </w:rPr>
        <w:t>120/2016</w:t>
      </w:r>
      <w:proofErr w:type="gramEnd"/>
      <w:r>
        <w:rPr>
          <w:rFonts w:ascii="Arial" w:hAnsi="Arial" w:cs="Arial"/>
          <w:color w:val="333333"/>
          <w:sz w:val="21"/>
          <w:szCs w:val="21"/>
        </w:rPr>
        <w:t xml:space="preserve"> privind publicarea în Monitorul Oficial al României, Partea I, a Deciziei civile nr. 784A din 26 octombrie 2016</w:t>
      </w:r>
      <w:r>
        <w:rPr>
          <w:rFonts w:ascii="Arial" w:hAnsi="Arial" w:cs="Arial"/>
          <w:color w:val="333333"/>
          <w:sz w:val="21"/>
          <w:szCs w:val="21"/>
        </w:rPr>
        <w:t xml:space="preserve"> a Curţii de Apel Bucureşti - Secţia </w:t>
      </w:r>
      <w:proofErr w:type="gramStart"/>
      <w:r>
        <w:rPr>
          <w:rFonts w:ascii="Arial" w:hAnsi="Arial" w:cs="Arial"/>
          <w:color w:val="333333"/>
          <w:sz w:val="21"/>
          <w:szCs w:val="21"/>
        </w:rPr>
        <w:t>a</w:t>
      </w:r>
      <w:proofErr w:type="gramEnd"/>
      <w:r>
        <w:rPr>
          <w:rFonts w:ascii="Arial" w:hAnsi="Arial" w:cs="Arial"/>
          <w:color w:val="333333"/>
          <w:sz w:val="21"/>
          <w:szCs w:val="21"/>
        </w:rPr>
        <w:t xml:space="preserve"> IV-a civilă, pronunţată în Dosarul nr. 2.013/2/2016, precum şi cele stabilite prin Decizia directorului general al Oficiului Român pentru Drepturile de Autor nr. </w:t>
      </w:r>
      <w:proofErr w:type="gramStart"/>
      <w:r>
        <w:rPr>
          <w:rFonts w:ascii="Arial" w:hAnsi="Arial" w:cs="Arial"/>
          <w:color w:val="333333"/>
          <w:sz w:val="21"/>
          <w:szCs w:val="21"/>
        </w:rPr>
        <w:t>99/2015 privind publicarea în Monitorul Oficial al Româ</w:t>
      </w:r>
      <w:r>
        <w:rPr>
          <w:rFonts w:ascii="Arial" w:hAnsi="Arial" w:cs="Arial"/>
          <w:color w:val="333333"/>
          <w:sz w:val="21"/>
          <w:szCs w:val="21"/>
        </w:rPr>
        <w:t>niei, Partea I, a Protocolului încheiat în data de 22 septembrie 2015 între Uniunea Producătorilor de Fonograme din România (UPFR) şi Centrul Român pentru Administrarea Drepturilor Artiştilor Interpreţi (CREDIDAM), pe de o parte, şi Federaţia Patronală a R</w:t>
      </w:r>
      <w:r>
        <w:rPr>
          <w:rFonts w:ascii="Arial" w:hAnsi="Arial" w:cs="Arial"/>
          <w:color w:val="333333"/>
          <w:sz w:val="21"/>
          <w:szCs w:val="21"/>
        </w:rPr>
        <w:t>eţelelor de Comerţ (FPRC), Societatea Comercială Altex România - S.R.L. (ALTEX) şi Societatea Comercială OMV Petrom Marketing - S.R.L. (OMV), pe de altă parte, publicată în Monitorul Oficial al României, Partea I, nr.</w:t>
      </w:r>
      <w:proofErr w:type="gramEnd"/>
      <w:r>
        <w:rPr>
          <w:rFonts w:ascii="Arial" w:hAnsi="Arial" w:cs="Arial"/>
          <w:color w:val="333333"/>
          <w:sz w:val="21"/>
          <w:szCs w:val="21"/>
        </w:rPr>
        <w:t xml:space="preserve"> </w:t>
      </w:r>
      <w:proofErr w:type="gramStart"/>
      <w:r>
        <w:rPr>
          <w:rFonts w:ascii="Arial" w:hAnsi="Arial" w:cs="Arial"/>
          <w:color w:val="333333"/>
          <w:sz w:val="21"/>
          <w:szCs w:val="21"/>
        </w:rPr>
        <w:t>232</w:t>
      </w:r>
      <w:proofErr w:type="gramEnd"/>
      <w:r>
        <w:rPr>
          <w:rFonts w:ascii="Arial" w:hAnsi="Arial" w:cs="Arial"/>
          <w:color w:val="333333"/>
          <w:sz w:val="21"/>
          <w:szCs w:val="21"/>
        </w:rPr>
        <w:t xml:space="preserve"> din 17 martie 2025, îşi încetează </w:t>
      </w:r>
      <w:r>
        <w:rPr>
          <w:rFonts w:ascii="Arial" w:hAnsi="Arial" w:cs="Arial"/>
          <w:color w:val="333333"/>
          <w:sz w:val="21"/>
          <w:szCs w:val="21"/>
        </w:rPr>
        <w:t>aplicabilitatea</w:t>
      </w:r>
      <w:r>
        <w:rPr>
          <w:rFonts w:ascii="Arial" w:hAnsi="Arial" w:cs="Arial"/>
          <w:color w:val="333333"/>
          <w:sz w:val="21"/>
          <w:szCs w:val="21"/>
        </w:rPr>
        <w:t>.</w:t>
      </w:r>
    </w:p>
    <w:p w:rsidR="00000000" w:rsidRDefault="00985B66">
      <w:pPr>
        <w:pStyle w:val="al"/>
        <w:spacing w:line="345" w:lineRule="atLeast"/>
        <w:rPr>
          <w:rFonts w:ascii="Arial" w:hAnsi="Arial" w:cs="Arial"/>
          <w:color w:val="333333"/>
          <w:sz w:val="21"/>
          <w:szCs w:val="21"/>
        </w:rPr>
      </w:pPr>
      <w:r>
        <w:rPr>
          <w:rFonts w:ascii="Arial" w:hAnsi="Arial" w:cs="Arial"/>
          <w:b/>
          <w:bCs/>
          <w:color w:val="333333"/>
          <w:sz w:val="21"/>
          <w:szCs w:val="21"/>
        </w:rPr>
        <w:t>Art. 3. -</w:t>
      </w:r>
      <w:r>
        <w:rPr>
          <w:rFonts w:ascii="Arial" w:hAnsi="Arial" w:cs="Arial"/>
          <w:b/>
          <w:bCs/>
          <w:color w:val="333333"/>
          <w:sz w:val="21"/>
          <w:szCs w:val="21"/>
        </w:rPr>
        <w:t xml:space="preserve"> </w:t>
      </w:r>
      <w:r>
        <w:rPr>
          <w:rFonts w:ascii="Arial" w:hAnsi="Arial" w:cs="Arial"/>
          <w:color w:val="333333"/>
          <w:sz w:val="21"/>
          <w:szCs w:val="21"/>
        </w:rPr>
        <w:t>Decizia poate fi atacată la instanţele judecătoreşti de contencios administrativ</w:t>
      </w:r>
      <w:r>
        <w:rPr>
          <w:rFonts w:ascii="Arial" w:hAnsi="Arial" w:cs="Arial"/>
          <w:color w:val="333333"/>
          <w:sz w:val="21"/>
          <w:szCs w:val="21"/>
        </w:rPr>
        <w:t>.</w:t>
      </w:r>
    </w:p>
    <w:p w:rsidR="00000000" w:rsidRDefault="00985B66">
      <w:pPr>
        <w:pStyle w:val="al"/>
        <w:spacing w:line="345" w:lineRule="atLeast"/>
        <w:rPr>
          <w:rFonts w:ascii="Arial" w:hAnsi="Arial" w:cs="Arial"/>
          <w:color w:val="333333"/>
          <w:sz w:val="21"/>
          <w:szCs w:val="21"/>
        </w:rPr>
      </w:pPr>
      <w:r>
        <w:rPr>
          <w:rFonts w:ascii="Arial" w:hAnsi="Arial" w:cs="Arial"/>
          <w:b/>
          <w:bCs/>
          <w:color w:val="333333"/>
          <w:sz w:val="21"/>
          <w:szCs w:val="21"/>
        </w:rPr>
        <w:t>Art. 4. -</w:t>
      </w:r>
      <w:r>
        <w:rPr>
          <w:rFonts w:ascii="Arial" w:hAnsi="Arial" w:cs="Arial"/>
          <w:b/>
          <w:bCs/>
          <w:color w:val="333333"/>
          <w:sz w:val="21"/>
          <w:szCs w:val="21"/>
        </w:rPr>
        <w:t xml:space="preserve"> </w:t>
      </w:r>
      <w:r>
        <w:rPr>
          <w:rFonts w:ascii="Arial" w:hAnsi="Arial" w:cs="Arial"/>
          <w:color w:val="333333"/>
          <w:sz w:val="21"/>
          <w:szCs w:val="21"/>
        </w:rPr>
        <w:t>Prezenta decizie se publică în Monitorul Oficial al României, Partea I, şi intră în vigoare în prima zi a lunii următoare datei publicări</w:t>
      </w:r>
      <w:r>
        <w:rPr>
          <w:rFonts w:ascii="Arial" w:hAnsi="Arial" w:cs="Arial"/>
          <w:color w:val="333333"/>
          <w:sz w:val="21"/>
          <w:szCs w:val="21"/>
        </w:rPr>
        <w:t>i</w:t>
      </w:r>
      <w:r>
        <w:rPr>
          <w:rFonts w:ascii="Arial" w:hAnsi="Arial" w:cs="Arial"/>
          <w:color w:val="333333"/>
          <w:sz w:val="21"/>
          <w:szCs w:val="21"/>
        </w:rPr>
        <w:t>.</w:t>
      </w:r>
    </w:p>
    <w:p w:rsidR="00000000" w:rsidRDefault="00985B66">
      <w:pPr>
        <w:spacing w:line="345" w:lineRule="atLeast"/>
        <w:jc w:val="both"/>
        <w:rPr>
          <w:rFonts w:ascii="Arial" w:eastAsia="Times New Roman" w:hAnsi="Arial" w:cs="Arial"/>
          <w:color w:val="333333"/>
          <w:sz w:val="21"/>
          <w:szCs w:val="21"/>
        </w:rPr>
      </w:pPr>
    </w:p>
    <w:p w:rsidR="00000000" w:rsidRDefault="00985B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7"/>
        <w:gridCol w:w="6068"/>
      </w:tblGrid>
      <w:tr w:rsidR="00000000">
        <w:trPr>
          <w:trHeight w:val="13"/>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b/>
                <w:bCs/>
                <w:color w:val="333333"/>
                <w:sz w:val="26"/>
                <w:szCs w:val="26"/>
              </w:rPr>
            </w:pPr>
          </w:p>
        </w:tc>
        <w:tc>
          <w:tcPr>
            <w:tcW w:w="0" w:type="auto"/>
            <w:hideMark/>
          </w:tcPr>
          <w:p w:rsidR="00000000" w:rsidRDefault="00985B66">
            <w:pPr>
              <w:spacing w:line="345" w:lineRule="atLeast"/>
              <w:rPr>
                <w:rFonts w:eastAsia="Times New Roman"/>
                <w:sz w:val="20"/>
                <w:szCs w:val="20"/>
              </w:rPr>
            </w:pPr>
          </w:p>
        </w:tc>
      </w:tr>
      <w:tr w:rsidR="00000000">
        <w:trPr>
          <w:trHeight w:val="353"/>
          <w:jc w:val="center"/>
        </w:trPr>
        <w:tc>
          <w:tcPr>
            <w:tcW w:w="0" w:type="auto"/>
            <w:tcMar>
              <w:top w:w="0" w:type="dxa"/>
              <w:left w:w="0" w:type="dxa"/>
              <w:bottom w:w="0" w:type="dxa"/>
              <w:right w:w="0" w:type="dxa"/>
            </w:tcMar>
            <w:hideMark/>
          </w:tcPr>
          <w:p w:rsidR="00000000" w:rsidRDefault="00985B66">
            <w:pPr>
              <w:spacing w:line="345" w:lineRule="atLeast"/>
              <w:rPr>
                <w:rFonts w:eastAsia="Times New Roman"/>
                <w:sz w:val="20"/>
                <w:szCs w:val="20"/>
              </w:rPr>
            </w:pPr>
          </w:p>
        </w:tc>
        <w:tc>
          <w:tcPr>
            <w:tcW w:w="0" w:type="auto"/>
            <w:tcBorders>
              <w:top w:val="nil"/>
              <w:left w:val="nil"/>
              <w:bottom w:val="nil"/>
              <w:right w:val="nil"/>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Directorul general al Oficiului Român pentru Drepturile de Autor,</w:t>
            </w:r>
            <w:r>
              <w:rPr>
                <w:rFonts w:ascii="Arial" w:eastAsia="Times New Roman" w:hAnsi="Arial" w:cs="Arial"/>
                <w:color w:val="333333"/>
                <w:sz w:val="18"/>
                <w:szCs w:val="18"/>
              </w:rPr>
              <w:br/>
              <w:t>Andrei-Simion Ijac</w:t>
            </w:r>
          </w:p>
        </w:tc>
      </w:tr>
    </w:tbl>
    <w:p w:rsidR="00000000" w:rsidRDefault="00985B66">
      <w:pPr>
        <w:pStyle w:val="al"/>
        <w:spacing w:line="345" w:lineRule="atLeast"/>
        <w:rPr>
          <w:rFonts w:ascii="Arial" w:hAnsi="Arial" w:cs="Arial"/>
          <w:color w:val="333333"/>
          <w:sz w:val="21"/>
          <w:szCs w:val="21"/>
        </w:rPr>
      </w:pPr>
      <w:r>
        <w:rPr>
          <w:rFonts w:ascii="Arial" w:hAnsi="Arial" w:cs="Arial"/>
          <w:color w:val="333333"/>
          <w:sz w:val="21"/>
          <w:szCs w:val="21"/>
        </w:rPr>
        <w:t>Bucureşti, 2 februarie 2026</w:t>
      </w:r>
      <w:r>
        <w:rPr>
          <w:rFonts w:ascii="Arial" w:hAnsi="Arial" w:cs="Arial"/>
          <w:color w:val="333333"/>
          <w:sz w:val="21"/>
          <w:szCs w:val="21"/>
        </w:rPr>
        <w:t>.</w:t>
      </w:r>
    </w:p>
    <w:p w:rsidR="00000000" w:rsidRDefault="00985B66">
      <w:pPr>
        <w:pStyle w:val="al"/>
        <w:spacing w:line="345" w:lineRule="atLeast"/>
        <w:rPr>
          <w:rFonts w:ascii="Arial" w:hAnsi="Arial" w:cs="Arial"/>
          <w:color w:val="333333"/>
          <w:sz w:val="21"/>
          <w:szCs w:val="21"/>
        </w:rPr>
      </w:pPr>
      <w:r>
        <w:rPr>
          <w:rFonts w:ascii="Arial" w:hAnsi="Arial" w:cs="Arial"/>
          <w:color w:val="333333"/>
          <w:sz w:val="21"/>
          <w:szCs w:val="21"/>
        </w:rPr>
        <w:t>Nr. 6</w:t>
      </w:r>
      <w:r>
        <w:rPr>
          <w:rFonts w:ascii="Arial" w:hAnsi="Arial" w:cs="Arial"/>
          <w:color w:val="333333"/>
          <w:sz w:val="21"/>
          <w:szCs w:val="21"/>
        </w:rPr>
        <w:t>.</w:t>
      </w:r>
    </w:p>
    <w:p w:rsidR="00000000" w:rsidRDefault="00985B66">
      <w:pPr>
        <w:pStyle w:val="Heading4"/>
        <w:spacing w:line="345" w:lineRule="atLeast"/>
        <w:jc w:val="right"/>
        <w:rPr>
          <w:rFonts w:ascii="Arial" w:eastAsia="Times New Roman" w:hAnsi="Arial" w:cs="Arial"/>
          <w:color w:val="333333"/>
        </w:rPr>
      </w:pPr>
      <w:r>
        <w:rPr>
          <w:rFonts w:ascii="Arial" w:eastAsia="Times New Roman" w:hAnsi="Arial" w:cs="Arial"/>
          <w:color w:val="333333"/>
        </w:rPr>
        <w:t>ANEX</w:t>
      </w:r>
      <w:r>
        <w:rPr>
          <w:rFonts w:ascii="Arial" w:eastAsia="Times New Roman" w:hAnsi="Arial" w:cs="Arial"/>
          <w:color w:val="333333"/>
        </w:rPr>
        <w:t>Ă</w:t>
      </w:r>
      <w:r>
        <w:rPr>
          <w:rFonts w:ascii="Arial" w:eastAsia="Times New Roman" w:hAnsi="Arial" w:cs="Arial"/>
          <w:color w:val="333333"/>
        </w:rPr>
        <w:t xml:space="preserve"> </w:t>
      </w:r>
    </w:p>
    <w:p w:rsidR="00000000" w:rsidRDefault="00985B66">
      <w:pPr>
        <w:spacing w:line="345" w:lineRule="atLeast"/>
        <w:jc w:val="both"/>
        <w:rPr>
          <w:rFonts w:ascii="Arial" w:eastAsia="Times New Roman" w:hAnsi="Arial" w:cs="Arial"/>
          <w:color w:val="333333"/>
          <w:sz w:val="21"/>
          <w:szCs w:val="21"/>
        </w:rPr>
      </w:pPr>
    </w:p>
    <w:p w:rsidR="00000000" w:rsidRDefault="00985B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TABELELE ACTUALIZATE</w:t>
      </w:r>
      <w:r>
        <w:rPr>
          <w:rFonts w:ascii="Arial" w:eastAsia="Times New Roman" w:hAnsi="Arial" w:cs="Arial"/>
          <w:b/>
          <w:bCs/>
          <w:color w:val="333333"/>
          <w:sz w:val="26"/>
          <w:szCs w:val="26"/>
        </w:rPr>
        <w:br/>
      </w:r>
      <w:r>
        <w:rPr>
          <w:rFonts w:ascii="Arial" w:eastAsia="Times New Roman" w:hAnsi="Arial" w:cs="Arial"/>
          <w:b/>
          <w:bCs/>
          <w:color w:val="333333"/>
          <w:sz w:val="26"/>
          <w:szCs w:val="26"/>
        </w:rPr>
        <w:t>cuprinzând drepturile patrimoniale ale artiştilor interpreţi sau executanţi pentru fonograme sau pentru reproduceri ale acestora, precum şi pentru prestaţii artistice din domeniul audiovizual şi ale producătorilor de fonograme, prin gestiune colectivă obli</w:t>
      </w:r>
      <w:r>
        <w:rPr>
          <w:rFonts w:ascii="Arial" w:eastAsia="Times New Roman" w:hAnsi="Arial" w:cs="Arial"/>
          <w:b/>
          <w:bCs/>
          <w:color w:val="333333"/>
          <w:sz w:val="26"/>
          <w:szCs w:val="26"/>
        </w:rPr>
        <w:t>gatori</w:t>
      </w:r>
      <w:r>
        <w:rPr>
          <w:rFonts w:ascii="Arial" w:eastAsia="Times New Roman" w:hAnsi="Arial" w:cs="Arial"/>
          <w:b/>
          <w:bCs/>
          <w:color w:val="333333"/>
          <w:sz w:val="26"/>
          <w:szCs w:val="26"/>
        </w:rPr>
        <w:t>e</w:t>
      </w:r>
    </w:p>
    <w:p w:rsidR="00000000" w:rsidRDefault="00985B66">
      <w:pPr>
        <w:spacing w:line="345" w:lineRule="atLeast"/>
        <w:jc w:val="both"/>
        <w:rPr>
          <w:rFonts w:ascii="Arial" w:eastAsia="Times New Roman" w:hAnsi="Arial" w:cs="Arial"/>
          <w:color w:val="333333"/>
          <w:sz w:val="21"/>
          <w:szCs w:val="21"/>
        </w:rPr>
      </w:pPr>
    </w:p>
    <w:p w:rsidR="00000000" w:rsidRDefault="00985B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9960" w:type="dxa"/>
        <w:jc w:val="center"/>
        <w:tblCellMar>
          <w:top w:w="15" w:type="dxa"/>
          <w:left w:w="15" w:type="dxa"/>
          <w:bottom w:w="15" w:type="dxa"/>
          <w:right w:w="15" w:type="dxa"/>
        </w:tblCellMar>
        <w:tblLook w:val="04A0" w:firstRow="1" w:lastRow="0" w:firstColumn="1" w:lastColumn="0" w:noHBand="0" w:noVBand="1"/>
      </w:tblPr>
      <w:tblGrid>
        <w:gridCol w:w="15"/>
        <w:gridCol w:w="467"/>
        <w:gridCol w:w="2432"/>
        <w:gridCol w:w="2340"/>
        <w:gridCol w:w="2366"/>
        <w:gridCol w:w="2340"/>
      </w:tblGrid>
      <w:tr w:rsidR="00000000">
        <w:trPr>
          <w:trHeight w:val="13"/>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b/>
                <w:bCs/>
                <w:color w:val="333333"/>
                <w:sz w:val="26"/>
                <w:szCs w:val="26"/>
              </w:rPr>
            </w:pPr>
          </w:p>
        </w:tc>
        <w:tc>
          <w:tcPr>
            <w:tcW w:w="0" w:type="auto"/>
            <w:hideMark/>
          </w:tcPr>
          <w:p w:rsidR="00000000" w:rsidRDefault="00985B66">
            <w:pPr>
              <w:spacing w:line="345" w:lineRule="atLeast"/>
              <w:rPr>
                <w:rFonts w:eastAsia="Times New Roman"/>
                <w:sz w:val="20"/>
                <w:szCs w:val="20"/>
              </w:rPr>
            </w:pPr>
          </w:p>
        </w:tc>
        <w:tc>
          <w:tcPr>
            <w:tcW w:w="0" w:type="auto"/>
            <w:hideMark/>
          </w:tcPr>
          <w:p w:rsidR="00000000" w:rsidRDefault="00985B66">
            <w:pPr>
              <w:spacing w:line="345" w:lineRule="atLeast"/>
              <w:rPr>
                <w:rFonts w:eastAsia="Times New Roman"/>
                <w:sz w:val="20"/>
                <w:szCs w:val="20"/>
              </w:rPr>
            </w:pPr>
          </w:p>
        </w:tc>
        <w:tc>
          <w:tcPr>
            <w:tcW w:w="0" w:type="auto"/>
            <w:hideMark/>
          </w:tcPr>
          <w:p w:rsidR="00000000" w:rsidRDefault="00985B66">
            <w:pPr>
              <w:spacing w:line="345" w:lineRule="atLeast"/>
              <w:rPr>
                <w:rFonts w:eastAsia="Times New Roman"/>
                <w:sz w:val="20"/>
                <w:szCs w:val="20"/>
              </w:rPr>
            </w:pPr>
          </w:p>
        </w:tc>
        <w:tc>
          <w:tcPr>
            <w:tcW w:w="0" w:type="auto"/>
            <w:hideMark/>
          </w:tcPr>
          <w:p w:rsidR="00000000" w:rsidRDefault="00985B66">
            <w:pPr>
              <w:spacing w:line="345" w:lineRule="atLeast"/>
              <w:rPr>
                <w:rFonts w:eastAsia="Times New Roman"/>
                <w:sz w:val="20"/>
                <w:szCs w:val="20"/>
              </w:rPr>
            </w:pPr>
          </w:p>
        </w:tc>
        <w:tc>
          <w:tcPr>
            <w:tcW w:w="0" w:type="auto"/>
            <w:hideMark/>
          </w:tcPr>
          <w:p w:rsidR="00000000" w:rsidRDefault="00985B66">
            <w:pPr>
              <w:spacing w:line="345" w:lineRule="atLeast"/>
              <w:rPr>
                <w:rFonts w:eastAsia="Times New Roman"/>
                <w:sz w:val="20"/>
                <w:szCs w:val="20"/>
              </w:rPr>
            </w:pP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rPr>
                <w:rFonts w:eastAsia="Times New Roman"/>
                <w:sz w:val="20"/>
                <w:szCs w:val="20"/>
              </w:rPr>
            </w:pPr>
          </w:p>
        </w:tc>
        <w:tc>
          <w:tcPr>
            <w:tcW w:w="11325" w:type="dxa"/>
            <w:gridSpan w:val="5"/>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I. Activităţi desfăşurate în regim ambiental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A </w:t>
            </w:r>
          </w:p>
        </w:tc>
        <w:tc>
          <w:tcPr>
            <w:tcW w:w="10785" w:type="dxa"/>
            <w:gridSpan w:val="4"/>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Unităţi de alimentaţie publică - restaurante, baruri, cafenele, ceainării, braserii, fast-fooduri, rotiserii, pizzerii, şaormerii, crame, cofetării, săli de bal, săli pentru nunţi şi asimilate</w:t>
            </w:r>
            <w:r>
              <w:rPr>
                <w:rStyle w:val="Strong"/>
                <w:rFonts w:ascii="Arial" w:eastAsia="Times New Roman" w:hAnsi="Arial" w:cs="Arial"/>
                <w:color w:val="333333"/>
                <w:sz w:val="18"/>
                <w:szCs w:val="18"/>
                <w:vertAlign w:val="superscript"/>
              </w:rPr>
              <w:t>1),2),3)</w:t>
            </w:r>
            <w:r>
              <w:rPr>
                <w:rStyle w:val="Strong"/>
                <w:rFonts w:ascii="Arial" w:eastAsia="Times New Roman" w:hAnsi="Arial" w:cs="Arial"/>
                <w:color w:val="333333"/>
                <w:sz w:val="18"/>
                <w:szCs w:val="18"/>
              </w:rPr>
              <w:t xml:space="preserve">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A1 </w:t>
            </w:r>
          </w:p>
        </w:tc>
        <w:tc>
          <w:tcPr>
            <w:tcW w:w="10785" w:type="dxa"/>
            <w:gridSpan w:val="4"/>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Spaţii închise sau deschise situate în oraşe </w:t>
            </w:r>
            <w:r>
              <w:rPr>
                <w:rStyle w:val="Strong"/>
                <w:rFonts w:ascii="Arial" w:eastAsia="Times New Roman" w:hAnsi="Arial" w:cs="Arial"/>
                <w:color w:val="333333"/>
                <w:sz w:val="18"/>
                <w:szCs w:val="18"/>
              </w:rPr>
              <w:t xml:space="preserve">sau staţiuni turistice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rPr>
                <w:rFonts w:eastAsia="Times New Roman"/>
                <w:sz w:val="20"/>
                <w:szCs w:val="20"/>
              </w:rPr>
            </w:pPr>
          </w:p>
        </w:tc>
        <w:tc>
          <w:tcPr>
            <w:tcW w:w="2700"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Tip încadrare </w:t>
            </w:r>
          </w:p>
        </w:tc>
        <w:tc>
          <w:tcPr>
            <w:tcW w:w="8100" w:type="dxa"/>
            <w:gridSpan w:val="3"/>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Remuneraţie lunară (fără TVA)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ascii="Arial" w:eastAsia="Times New Roman" w:hAnsi="Arial" w:cs="Arial"/>
                <w:color w:val="333333"/>
                <w:sz w:val="18"/>
                <w:szCs w:val="18"/>
              </w:rPr>
            </w:pP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Producători de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audiovizual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Suprafaţă între 0-50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42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42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Suprafaţă între 51-100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52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52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 lei </w:t>
            </w:r>
          </w:p>
        </w:tc>
      </w:tr>
      <w:tr w:rsidR="00000000">
        <w:trPr>
          <w:trHeight w:val="85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Suprafaţă cuprinsă între 101 şi 300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52 lei plus 8 lei pentru fiecare suprafaţă suplimentară de până la 50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52 lei plus 8 lei pentru fiecare suprafaţă suplimentară de până la 50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 lei plus 3 lei pentru fiecare suprafaţă suplimentară de până la 50 mp </w:t>
            </w:r>
          </w:p>
        </w:tc>
      </w:tr>
      <w:tr w:rsidR="00000000">
        <w:trPr>
          <w:trHeight w:val="85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Suprafaţă peste 300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91 lei plus 16 lei pentru fiecare suprafaţă suplimentară de până la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91 </w:t>
            </w:r>
            <w:r>
              <w:rPr>
                <w:rFonts w:ascii="Arial" w:eastAsia="Times New Roman" w:hAnsi="Arial" w:cs="Arial"/>
                <w:color w:val="333333"/>
                <w:sz w:val="18"/>
                <w:szCs w:val="18"/>
              </w:rPr>
              <w:t xml:space="preserve">lei plus 16 lei pentru fiecare suprafaţă suplimentară de până la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44 lei plus 7 lei pentru fiecare suprafaţă suplimentară de până la 100 mp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A2 </w:t>
            </w:r>
          </w:p>
        </w:tc>
        <w:tc>
          <w:tcPr>
            <w:tcW w:w="10785" w:type="dxa"/>
            <w:gridSpan w:val="4"/>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Spaţii închise sau deschise situate în comune şi sate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rPr>
                <w:rFonts w:eastAsia="Times New Roman"/>
                <w:sz w:val="20"/>
                <w:szCs w:val="20"/>
              </w:rPr>
            </w:pPr>
          </w:p>
        </w:tc>
        <w:tc>
          <w:tcPr>
            <w:tcW w:w="2700"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Tip încadrare </w:t>
            </w:r>
          </w:p>
        </w:tc>
        <w:tc>
          <w:tcPr>
            <w:tcW w:w="8100" w:type="dxa"/>
            <w:gridSpan w:val="3"/>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Remuneraţie lunară (fără TVA)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ascii="Arial" w:eastAsia="Times New Roman" w:hAnsi="Arial" w:cs="Arial"/>
                <w:color w:val="333333"/>
                <w:sz w:val="18"/>
                <w:szCs w:val="18"/>
              </w:rPr>
            </w:pP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Producători de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audiovizual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Suprafaţă între 0-50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12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Suprafaţă între 51-100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r>
              <w:rPr>
                <w:rFonts w:ascii="Arial" w:eastAsia="Times New Roman" w:hAnsi="Arial" w:cs="Arial"/>
                <w:color w:val="333333"/>
                <w:sz w:val="18"/>
                <w:szCs w:val="18"/>
              </w:rPr>
              <w:t xml:space="preserve">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lei </w:t>
            </w:r>
          </w:p>
        </w:tc>
      </w:tr>
      <w:tr w:rsidR="00000000">
        <w:trPr>
          <w:trHeight w:val="85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Suprafaţă între 101-300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 lei plus 7 lei pentru fiecare suprafaţă suplimentară de până la 50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 lei plus 7 lei pentru fiecare suprafaţă suplimentară de până la 50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lei plus 3 lei pentru fiecare suprafaţă suplimentară de până la 50 mp </w:t>
            </w:r>
          </w:p>
        </w:tc>
      </w:tr>
      <w:tr w:rsidR="00000000">
        <w:trPr>
          <w:trHeight w:val="85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Suprafaţă peste 300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 lei plus 13 lei pentru fiecare suprafaţă suplimentară de până la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61 lei plus 13 lei pentru fiecare suprafaţă suplimentară de până la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 lei plus 5 lei pentru fiecare suprafaţă suplimentară de până la 100 mp </w:t>
            </w:r>
          </w:p>
        </w:tc>
      </w:tr>
      <w:tr w:rsidR="00000000">
        <w:trPr>
          <w:trHeight w:val="85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B </w:t>
            </w:r>
          </w:p>
        </w:tc>
        <w:tc>
          <w:tcPr>
            <w:tcW w:w="10785" w:type="dxa"/>
            <w:gridSpan w:val="4"/>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Unităţi comerciale sau prestatoare de servicii, showroomuri, duty-free-uri, galerii comerciale, malluri, supermarketuri, hipermarketuri, spitale, cabinete medicale, centre de t</w:t>
            </w:r>
            <w:r>
              <w:rPr>
                <w:rStyle w:val="Strong"/>
                <w:rFonts w:ascii="Arial" w:eastAsia="Times New Roman" w:hAnsi="Arial" w:cs="Arial"/>
                <w:color w:val="333333"/>
                <w:sz w:val="18"/>
                <w:szCs w:val="18"/>
              </w:rPr>
              <w:t>ratament, cazinouri, săli internet, săli de jocuri, săli de biliard, popice, tenis de masă, saloane de înfrumuseţare şi altele asimilate etc.</w:t>
            </w:r>
            <w:r>
              <w:rPr>
                <w:rStyle w:val="Strong"/>
                <w:rFonts w:ascii="Arial" w:eastAsia="Times New Roman" w:hAnsi="Arial" w:cs="Arial"/>
                <w:color w:val="333333"/>
                <w:sz w:val="18"/>
                <w:szCs w:val="18"/>
                <w:vertAlign w:val="superscript"/>
              </w:rPr>
              <w:t>11),12)</w:t>
            </w:r>
            <w:r>
              <w:rPr>
                <w:rStyle w:val="Strong"/>
                <w:rFonts w:ascii="Arial" w:eastAsia="Times New Roman" w:hAnsi="Arial" w:cs="Arial"/>
                <w:color w:val="333333"/>
                <w:sz w:val="18"/>
                <w:szCs w:val="18"/>
              </w:rPr>
              <w:t xml:space="preserve">- spaţii închise sau deschise situate în oraşe, staţiuni turistice, comune şi sate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rPr>
                <w:rFonts w:eastAsia="Times New Roman"/>
                <w:sz w:val="20"/>
                <w:szCs w:val="20"/>
              </w:rPr>
            </w:pPr>
          </w:p>
        </w:tc>
        <w:tc>
          <w:tcPr>
            <w:tcW w:w="2700"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Tip încadrare </w:t>
            </w:r>
          </w:p>
        </w:tc>
        <w:tc>
          <w:tcPr>
            <w:tcW w:w="8100" w:type="dxa"/>
            <w:gridSpan w:val="3"/>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Remuneraţie lunară (fără TVA)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ascii="Arial" w:eastAsia="Times New Roman" w:hAnsi="Arial" w:cs="Arial"/>
                <w:color w:val="333333"/>
                <w:sz w:val="18"/>
                <w:szCs w:val="18"/>
              </w:rPr>
            </w:pP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Producători de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Artiştiinterpreţi ori executanţi pentru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ori executanţi pentru audiovizual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Suprafaţa până la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43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43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23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Suprafaţa cuprinsă între 101</w:t>
            </w:r>
            <w:r>
              <w:rPr>
                <w:rFonts w:ascii="Arial" w:eastAsia="Times New Roman" w:hAnsi="Arial" w:cs="Arial"/>
                <w:color w:val="333333"/>
                <w:sz w:val="18"/>
                <w:szCs w:val="18"/>
              </w:rPr>
              <w:t xml:space="preserve">-200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41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Suprafaţa cuprinsă între 201-300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111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111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55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Suprafaţa cuprinsă între 301-400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132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132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68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Suprafaţa cuprinsă între 401-500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152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152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77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Suprafaţa cuprinsă între 501-1.000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219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219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111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Suprafaţa cuprinsă între 1.001-2.500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306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306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152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Suprafaţa cuprinsă între 2.501-5.000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336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336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169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Suprafaţa cuprinsă între 5.001-7.500 mp</w:t>
            </w:r>
            <w:r>
              <w:rPr>
                <w:rFonts w:ascii="Arial" w:eastAsia="Times New Roman" w:hAnsi="Arial" w:cs="Arial"/>
                <w:color w:val="333333"/>
                <w:sz w:val="18"/>
                <w:szCs w:val="18"/>
              </w:rPr>
              <w:t xml:space="preserv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394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394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197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Suprafaţa peste 7.500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422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422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211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C </w:t>
            </w:r>
          </w:p>
        </w:tc>
        <w:tc>
          <w:tcPr>
            <w:tcW w:w="10785" w:type="dxa"/>
            <w:gridSpan w:val="4"/>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Târguri sau expoziţii, evenimente cu publicitate sau mijloace prin care se face publicitate</w:t>
            </w:r>
            <w:r>
              <w:rPr>
                <w:rStyle w:val="Strong"/>
                <w:rFonts w:ascii="Arial" w:eastAsia="Times New Roman" w:hAnsi="Arial" w:cs="Arial"/>
                <w:color w:val="333333"/>
                <w:sz w:val="18"/>
                <w:szCs w:val="18"/>
                <w:vertAlign w:val="superscript"/>
              </w:rPr>
              <w:t>1),2),10)</w:t>
            </w:r>
            <w:r>
              <w:rPr>
                <w:rStyle w:val="Strong"/>
                <w:rFonts w:ascii="Arial" w:eastAsia="Times New Roman" w:hAnsi="Arial" w:cs="Arial"/>
                <w:color w:val="333333"/>
                <w:sz w:val="18"/>
                <w:szCs w:val="18"/>
              </w:rPr>
              <w:t xml:space="preserve">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C1 </w:t>
            </w:r>
          </w:p>
        </w:tc>
        <w:tc>
          <w:tcPr>
            <w:tcW w:w="10785" w:type="dxa"/>
            <w:gridSpan w:val="4"/>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Spaţii închise sau deschise situate în oraşe, staţiuni turistice, comune şi sate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rPr>
                <w:rFonts w:eastAsia="Times New Roman"/>
                <w:sz w:val="20"/>
                <w:szCs w:val="20"/>
              </w:rPr>
            </w:pPr>
          </w:p>
        </w:tc>
        <w:tc>
          <w:tcPr>
            <w:tcW w:w="2700"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Tip încadrare </w:t>
            </w:r>
          </w:p>
        </w:tc>
        <w:tc>
          <w:tcPr>
            <w:tcW w:w="8100" w:type="dxa"/>
            <w:gridSpan w:val="3"/>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Remuneraţie zilnică (fără TVA)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ascii="Arial" w:eastAsia="Times New Roman" w:hAnsi="Arial" w:cs="Arial"/>
                <w:color w:val="333333"/>
                <w:sz w:val="18"/>
                <w:szCs w:val="18"/>
              </w:rPr>
            </w:pP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Producători de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audiovizual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Târguri sau expoziţii urbane şi în staţiuni turistice până la 1.000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41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Târguri sau expoziţii urbane şi în staţiuni turistice între 1.001 mp-2.000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147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147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72 lei </w:t>
            </w:r>
          </w:p>
        </w:tc>
      </w:tr>
      <w:tr w:rsidR="00000000">
        <w:trPr>
          <w:trHeight w:val="85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Târguri sau expoziţii urbane şi în staţiuni turistice peste 2.000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147 lei plus 41 lei pentru fiecare suprafaţă suplimentară de până la 1.000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147 lei plus 41 lei pentru fiecare suprafaţă suplimentară de până la 1.000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72 lei plus 16</w:t>
            </w:r>
            <w:r>
              <w:rPr>
                <w:rFonts w:ascii="Arial" w:eastAsia="Times New Roman" w:hAnsi="Arial" w:cs="Arial"/>
                <w:color w:val="333333"/>
                <w:sz w:val="18"/>
                <w:szCs w:val="18"/>
              </w:rPr>
              <w:t xml:space="preserve"> lei pentru fiecare suprafaţă suplimentară de până la 1.000 mp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Târguri sau expoziţii rurale, iarmaroace, talciocuri până în 1.000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49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49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Târguri sau expoziţii rurale, iarmaroace, talciocuri între 1.001 mp-2.000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r>
              <w:rPr>
                <w:rFonts w:ascii="Arial" w:eastAsia="Times New Roman" w:hAnsi="Arial" w:cs="Arial"/>
                <w:color w:val="333333"/>
                <w:sz w:val="18"/>
                <w:szCs w:val="18"/>
              </w:rPr>
              <w:t xml:space="preserve">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41 lei </w:t>
            </w:r>
          </w:p>
        </w:tc>
      </w:tr>
      <w:tr w:rsidR="00000000">
        <w:trPr>
          <w:trHeight w:val="85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Târguri sau expoziţii rurale, iarmaroace, talciocuri peste 2.000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 lei plus 24 lei pentru fiecare suprafaţă suplimentară de până la 1.000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 lei plus 24 lei pentru fiecare suprafaţă suplimentară de până la 1.000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41 lei plus 12 lei pentru fiecare suprafaţă suplimentară de până la 1.000 mp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Expoziţii de artă, ştiinţă, carte şi altele asimilate până în 1.000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41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41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Expoziţii de artă, ştiinţă, carte şi altele asimilate între 1.001 mp-2.0</w:t>
            </w:r>
            <w:r>
              <w:rPr>
                <w:rFonts w:ascii="Arial" w:eastAsia="Times New Roman" w:hAnsi="Arial" w:cs="Arial"/>
                <w:color w:val="333333"/>
                <w:sz w:val="18"/>
                <w:szCs w:val="18"/>
              </w:rPr>
              <w:t xml:space="preserve">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64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64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 lei </w:t>
            </w:r>
          </w:p>
        </w:tc>
      </w:tr>
      <w:tr w:rsidR="00000000">
        <w:trPr>
          <w:trHeight w:val="85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Expoziţii de artă, ştiinţă, carte şi altele asimilate peste 2.000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64 lei plus 16 lei pentru fiecare suprafaţă suplimentară de până la 1.000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64 lei plus 16 lei pentru fiecare suprafaţă suplimentară de până la 1.000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 lei plus 7 lei pentru fiecare suprafaţă suplimentară de până la 1.000 mp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C2 </w:t>
            </w:r>
          </w:p>
        </w:tc>
        <w:tc>
          <w:tcPr>
            <w:tcW w:w="10785" w:type="dxa"/>
            <w:gridSpan w:val="4"/>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Publicitate cu vehicule, standuri, bannere, ecrane, machete fixe/gonflabile, remorci mobile etc</w:t>
            </w:r>
            <w:r>
              <w:rPr>
                <w:rStyle w:val="Strong"/>
                <w:rFonts w:ascii="Arial" w:eastAsia="Times New Roman" w:hAnsi="Arial" w:cs="Arial"/>
                <w:color w:val="333333"/>
                <w:sz w:val="18"/>
                <w:szCs w:val="18"/>
              </w:rPr>
              <w:t xml:space="preserve">. (dotate sau însoţite de instalaţii de sonorizare) - acţiuni desfăşurate în spaţii deschise situate în oraşe, staţiuni turistice, comune şi sate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rPr>
                <w:rFonts w:eastAsia="Times New Roman"/>
                <w:sz w:val="20"/>
                <w:szCs w:val="20"/>
              </w:rPr>
            </w:pPr>
          </w:p>
        </w:tc>
        <w:tc>
          <w:tcPr>
            <w:tcW w:w="2700"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Tip încadrare </w:t>
            </w:r>
          </w:p>
        </w:tc>
        <w:tc>
          <w:tcPr>
            <w:tcW w:w="8100" w:type="dxa"/>
            <w:gridSpan w:val="3"/>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Remuneraţie zilnică (fără TVA)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ascii="Arial" w:eastAsia="Times New Roman" w:hAnsi="Arial" w:cs="Arial"/>
                <w:color w:val="333333"/>
                <w:sz w:val="18"/>
                <w:szCs w:val="18"/>
              </w:rPr>
            </w:pP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Producători de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w:t>
            </w:r>
            <w:r>
              <w:rPr>
                <w:rFonts w:ascii="Arial" w:eastAsia="Times New Roman" w:hAnsi="Arial" w:cs="Arial"/>
                <w:color w:val="333333"/>
                <w:sz w:val="18"/>
                <w:szCs w:val="18"/>
              </w:rPr>
              <w:t xml:space="preserve">xecutanţi pentru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ori executanţi pentru audiovizual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Vehicul auto/remorcă publicitară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Stand publicitar</w:t>
            </w:r>
            <w:r>
              <w:rPr>
                <w:rFonts w:ascii="Arial" w:eastAsia="Times New Roman" w:hAnsi="Arial" w:cs="Arial"/>
                <w:color w:val="333333"/>
                <w:sz w:val="18"/>
                <w:szCs w:val="18"/>
                <w:vertAlign w:val="superscript"/>
              </w:rPr>
              <w:t>7)</w:t>
            </w:r>
            <w:r>
              <w:rPr>
                <w:rFonts w:ascii="Arial" w:eastAsia="Times New Roman" w:hAnsi="Arial" w:cs="Arial"/>
                <w:color w:val="333333"/>
                <w:sz w:val="18"/>
                <w:szCs w:val="18"/>
              </w:rPr>
              <w:t xml:space="preserve">, banner, ecran, machetă fixă/ gonflabilă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C3 </w:t>
            </w:r>
          </w:p>
        </w:tc>
        <w:tc>
          <w:tcPr>
            <w:tcW w:w="10785" w:type="dxa"/>
            <w:gridSpan w:val="4"/>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Spectacole diverse (pentru muzica difuzată înainte, în timpul sau după spectacol) - spaţii închise sau deschise situate în oraşe, staţiuni turistice, comune şi sate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rPr>
                <w:rFonts w:eastAsia="Times New Roman"/>
                <w:sz w:val="20"/>
                <w:szCs w:val="20"/>
              </w:rPr>
            </w:pPr>
          </w:p>
        </w:tc>
        <w:tc>
          <w:tcPr>
            <w:tcW w:w="2700"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Tip încadrare </w:t>
            </w:r>
          </w:p>
        </w:tc>
        <w:tc>
          <w:tcPr>
            <w:tcW w:w="8100" w:type="dxa"/>
            <w:gridSpan w:val="3"/>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Remuneraţie per spectacol (fără TVA)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ascii="Arial" w:eastAsia="Times New Roman" w:hAnsi="Arial" w:cs="Arial"/>
                <w:color w:val="333333"/>
                <w:sz w:val="18"/>
                <w:szCs w:val="18"/>
              </w:rPr>
            </w:pP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Producători de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audiovizual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Filarmonică, operă, teatru, cinematograf, circ, delfinariu şi altele asimilate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D </w:t>
            </w:r>
          </w:p>
        </w:tc>
        <w:tc>
          <w:tcPr>
            <w:tcW w:w="10785" w:type="dxa"/>
            <w:gridSpan w:val="4"/>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Unităţi de cazare - situate în oraşe, </w:t>
            </w:r>
            <w:r>
              <w:rPr>
                <w:rStyle w:val="Strong"/>
                <w:rFonts w:ascii="Arial" w:eastAsia="Times New Roman" w:hAnsi="Arial" w:cs="Arial"/>
                <w:color w:val="333333"/>
                <w:sz w:val="18"/>
                <w:szCs w:val="18"/>
              </w:rPr>
              <w:t>staţiuni turistice, comune şi sate</w:t>
            </w:r>
            <w:r>
              <w:rPr>
                <w:rStyle w:val="Strong"/>
                <w:rFonts w:ascii="Arial" w:eastAsia="Times New Roman" w:hAnsi="Arial" w:cs="Arial"/>
                <w:color w:val="333333"/>
                <w:sz w:val="18"/>
                <w:szCs w:val="18"/>
                <w:vertAlign w:val="superscript"/>
              </w:rPr>
              <w:t>2),4),8), 9)</w:t>
            </w:r>
            <w:r>
              <w:rPr>
                <w:rStyle w:val="Strong"/>
                <w:rFonts w:ascii="Arial" w:eastAsia="Times New Roman" w:hAnsi="Arial" w:cs="Arial"/>
                <w:color w:val="333333"/>
                <w:sz w:val="18"/>
                <w:szCs w:val="18"/>
              </w:rPr>
              <w:t xml:space="preserve">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rPr>
                <w:rFonts w:eastAsia="Times New Roman"/>
                <w:sz w:val="20"/>
                <w:szCs w:val="20"/>
              </w:rPr>
            </w:pPr>
          </w:p>
        </w:tc>
        <w:tc>
          <w:tcPr>
            <w:tcW w:w="2700"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Tip încadrare </w:t>
            </w:r>
          </w:p>
        </w:tc>
        <w:tc>
          <w:tcPr>
            <w:tcW w:w="8100" w:type="dxa"/>
            <w:gridSpan w:val="3"/>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Remuneraţie lunară (fără TVA)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ascii="Arial" w:eastAsia="Times New Roman" w:hAnsi="Arial" w:cs="Arial"/>
                <w:color w:val="333333"/>
                <w:sz w:val="18"/>
                <w:szCs w:val="18"/>
              </w:rPr>
            </w:pP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Producători de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audiovizual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Pensiune agroturistică, popas turistic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Pensiune turistică, vilă turistică până la 3 stele/3 margarete inclusiv, situate în comune şi sate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Pensiune turistică, vilă turistică până la 3 stele/3 margarete inclusiv, situate în oraşe şi staţiuni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43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43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43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Sat vacanţă, camping, club vacanţă, bungalow, căsuţe tip camping, ponton plutitor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Motel, caban</w:t>
            </w:r>
            <w:r>
              <w:rPr>
                <w:rFonts w:ascii="Arial" w:eastAsia="Times New Roman" w:hAnsi="Arial" w:cs="Arial"/>
                <w:color w:val="333333"/>
                <w:sz w:val="18"/>
                <w:szCs w:val="18"/>
              </w:rPr>
              <w:t xml:space="preserve">ă, hostel, situate în comune şi sate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Motel şi hostel situate în oraşe şi staţiuni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41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41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41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Pensiune turistică, vilă turistică de 4-5 stele/4-5 margarete, situate în comune şi sate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63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Pensiune turistică, vilă turistică de 4-5 stele/4-5 margarete, situate în oraşe şi staţiuni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106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106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106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Tabere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81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81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66 lei </w:t>
            </w:r>
          </w:p>
        </w:tc>
      </w:tr>
      <w:tr w:rsidR="00000000">
        <w:trPr>
          <w:trHeight w:val="85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Hotel, hotel-apartament, apartamente şi camere de închiriat până la 3 stele (inclusiv), până la 50 spaţii de cazare (camere), situate în comune şi sate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64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64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 lei </w:t>
            </w:r>
          </w:p>
        </w:tc>
      </w:tr>
      <w:tr w:rsidR="00000000">
        <w:trPr>
          <w:trHeight w:val="85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11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până la 3 ste</w:t>
            </w:r>
            <w:r>
              <w:rPr>
                <w:rFonts w:ascii="Arial" w:eastAsia="Times New Roman" w:hAnsi="Arial" w:cs="Arial"/>
                <w:color w:val="333333"/>
                <w:sz w:val="18"/>
                <w:szCs w:val="18"/>
              </w:rPr>
              <w:t xml:space="preserve">le (inclusiv), până la 50 spaţii de cazare (camere), situate în oraşe şi staţiuni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82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82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82 lei </w:t>
            </w:r>
          </w:p>
        </w:tc>
      </w:tr>
      <w:tr w:rsidR="00000000">
        <w:trPr>
          <w:trHeight w:val="85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12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Hotel, hotel-apartament, apartamente şi camere de închiriat până la 3 stele (inclusiv), între 51-100 spaţii de cazare (camere), situate în comune şi sate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82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82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42 lei </w:t>
            </w:r>
          </w:p>
        </w:tc>
      </w:tr>
      <w:tr w:rsidR="00000000">
        <w:trPr>
          <w:trHeight w:val="85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până la 3 s</w:t>
            </w:r>
            <w:r>
              <w:rPr>
                <w:rFonts w:ascii="Arial" w:eastAsia="Times New Roman" w:hAnsi="Arial" w:cs="Arial"/>
                <w:color w:val="333333"/>
                <w:sz w:val="18"/>
                <w:szCs w:val="18"/>
              </w:rPr>
              <w:t xml:space="preserve">tele (inclusiv), între 51-100 spaţii de cazare (camere), situate în oraşe şi staţiuni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104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104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104 lei </w:t>
            </w:r>
          </w:p>
        </w:tc>
      </w:tr>
      <w:tr w:rsidR="00000000">
        <w:trPr>
          <w:trHeight w:val="85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până la 3 stele (inclusiv), între 101-200 spaţii de cazare (camere), situate</w:t>
            </w:r>
            <w:r>
              <w:rPr>
                <w:rFonts w:ascii="Arial" w:eastAsia="Times New Roman" w:hAnsi="Arial" w:cs="Arial"/>
                <w:color w:val="333333"/>
                <w:sz w:val="18"/>
                <w:szCs w:val="18"/>
              </w:rPr>
              <w:t xml:space="preserve"> în comune şi sate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104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104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104 lei </w:t>
            </w:r>
          </w:p>
        </w:tc>
      </w:tr>
      <w:tr w:rsidR="00000000">
        <w:trPr>
          <w:trHeight w:val="85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Hotel, hotel-apartament, apartamente şi camere de închiriat până la 3 stele (inclusiv), între 101-200 spaţii de cazare (camere), situate în oraşe şi staţiuni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138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138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138 lei </w:t>
            </w:r>
          </w:p>
        </w:tc>
      </w:tr>
      <w:tr w:rsidR="00000000">
        <w:trPr>
          <w:trHeight w:val="85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Hotel, hotel-apartament, apartamente şi camere de închiriat până la 3 stele (inclusiv), peste 200 spaţii de cazare (camere), situate în comune şi sate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104 lei plus 16 lei pentru fiecare tranşă suplimentară de 50 de camere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104 lei plus 16 lei pentru fieca</w:t>
            </w:r>
            <w:r>
              <w:rPr>
                <w:rFonts w:ascii="Arial" w:eastAsia="Times New Roman" w:hAnsi="Arial" w:cs="Arial"/>
                <w:color w:val="333333"/>
                <w:sz w:val="18"/>
                <w:szCs w:val="18"/>
              </w:rPr>
              <w:t xml:space="preserve">re tranşă suplimentară de 50 de camere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104 lei plus 16 lei pentru fiecare tranşă suplimentară de 50 de camere </w:t>
            </w:r>
          </w:p>
        </w:tc>
      </w:tr>
      <w:tr w:rsidR="00000000">
        <w:trPr>
          <w:trHeight w:val="85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până la 3 stele (inclusiv), peste 200 spaţii de cazare (camere), situate în or</w:t>
            </w:r>
            <w:r>
              <w:rPr>
                <w:rFonts w:ascii="Arial" w:eastAsia="Times New Roman" w:hAnsi="Arial" w:cs="Arial"/>
                <w:color w:val="333333"/>
                <w:sz w:val="18"/>
                <w:szCs w:val="18"/>
              </w:rPr>
              <w:t xml:space="preserve">aşe şi staţiuni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138 lei plus 20 lei pentru fiecare tranşă suplimentară de 50 de camere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138 lei plus 20 lei pentru fiecare tranşă suplimentară de 50 de camere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138 lei plus 20 lei pentru fiecare tranşă suplimentară de 50 de camere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w:t>
            </w:r>
            <w:r>
              <w:rPr>
                <w:rFonts w:ascii="Arial" w:eastAsia="Times New Roman" w:hAnsi="Arial" w:cs="Arial"/>
                <w:color w:val="333333"/>
                <w:sz w:val="18"/>
                <w:szCs w:val="18"/>
              </w:rPr>
              <w:t xml:space="preserve">tament, apartamente şi camere de închiriat 4 stele, până la 50 spaţii de cazare (camere), situate în comune şi sate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138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138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138 lei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19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Hotel, hotel-apartament, apartamente şi camere de închiriat 4 stele, până la 50 spaţii de cazare (camere), situate în oraşe şi staţiuni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159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159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159 lei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4 stele, între 51-100 spaţ</w:t>
            </w:r>
            <w:r>
              <w:rPr>
                <w:rFonts w:ascii="Arial" w:eastAsia="Times New Roman" w:hAnsi="Arial" w:cs="Arial"/>
                <w:color w:val="333333"/>
                <w:sz w:val="18"/>
                <w:szCs w:val="18"/>
              </w:rPr>
              <w:t xml:space="preserve">ii de cazare (camere), situate în comune şi sate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159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159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159 lei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Hotel, hotel-apartament, apartamente şi camere de închiriat 4 stele, între 51-100 spaţii de cazare (camere), situate în oraşe şi staţiuni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178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178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178 lei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22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Hotel, hotel-apartament, apartamente şi camere de închiriat 4 stele, între 101-200 spaţii de cazare (camere), situate în comune şi sate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178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178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178 lei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23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Hotel, hotel-apartament, apartamente şi camere de închiriat 4 stele, între 101-200 spaţii de cazare (camere), situate în oraşe şi staţiuni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197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197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197 lei </w:t>
            </w:r>
          </w:p>
        </w:tc>
      </w:tr>
      <w:tr w:rsidR="00000000">
        <w:trPr>
          <w:trHeight w:val="85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4 stele, peste 200 spaţ</w:t>
            </w:r>
            <w:r>
              <w:rPr>
                <w:rFonts w:ascii="Arial" w:eastAsia="Times New Roman" w:hAnsi="Arial" w:cs="Arial"/>
                <w:color w:val="333333"/>
                <w:sz w:val="18"/>
                <w:szCs w:val="18"/>
              </w:rPr>
              <w:t xml:space="preserve">ii de cazare (camere), situate în comune şi sate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178 lei plus 24 lei pentru fiecare tranşă suplimentară de 50 de camere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178 lei plus 24 lei pentru fiecare tranşă suplimentară de 50 de camere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178 lei plus 24 lei pentru fiecare tranşă suplimentară de 50 d</w:t>
            </w:r>
            <w:r>
              <w:rPr>
                <w:rFonts w:ascii="Arial" w:eastAsia="Times New Roman" w:hAnsi="Arial" w:cs="Arial"/>
                <w:color w:val="333333"/>
                <w:sz w:val="18"/>
                <w:szCs w:val="18"/>
              </w:rPr>
              <w:t xml:space="preserve">e camere </w:t>
            </w:r>
          </w:p>
        </w:tc>
      </w:tr>
      <w:tr w:rsidR="00000000">
        <w:trPr>
          <w:trHeight w:val="85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Hotel, hotel-apartament, apartamente şi camere de închiriat 4 stele, peste 200 spaţii de cazare (camere), situate în oraşe şi staţiuni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197 lei plus 30 lei pentru fiecare tranşă suplimentară de 50 de camere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197 lei plus 30 lei pentru fieca</w:t>
            </w:r>
            <w:r>
              <w:rPr>
                <w:rFonts w:ascii="Arial" w:eastAsia="Times New Roman" w:hAnsi="Arial" w:cs="Arial"/>
                <w:color w:val="333333"/>
                <w:sz w:val="18"/>
                <w:szCs w:val="18"/>
              </w:rPr>
              <w:t xml:space="preserve">re tranşă suplimentară de 50 de camere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197 lei plus 30 lei pentru fiecare tranşă suplimentară de 50 de camere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26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Hotel, hotel-apartament, apartamente şi camere de închiriat 5 stele, până la 50 spaţii de cazare (camere), situate în comune şi sate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197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197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197 lei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27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Hotel, hotel-apartament, apartamente şi camere de închiriat 5 stele, până la 50 spaţii de cazare (camere), situate în oraşe şi staţiuni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217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217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217 lei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28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w:t>
            </w:r>
            <w:r>
              <w:rPr>
                <w:rFonts w:ascii="Arial" w:eastAsia="Times New Roman" w:hAnsi="Arial" w:cs="Arial"/>
                <w:color w:val="333333"/>
                <w:sz w:val="18"/>
                <w:szCs w:val="18"/>
              </w:rPr>
              <w:t xml:space="preserve">hiriat 5 stele, între 51-100 spaţii de cazare (camere), situate în comune şi sate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217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217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217 lei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29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Hotel, hotel-apartament, apartamente şi camere de închiriat 5 stele, între 51-100 spaţii de cazare (camere), situate în oraşe şi staţiuni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238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238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238 lei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Hotel, hotel-apartament, apartamente şi camere de închiriat 5 stele, între 101-200 spaţii de cazare (camere), situate în comune şi sate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238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238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238 lei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31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w:t>
            </w:r>
            <w:r>
              <w:rPr>
                <w:rFonts w:ascii="Arial" w:eastAsia="Times New Roman" w:hAnsi="Arial" w:cs="Arial"/>
                <w:color w:val="333333"/>
                <w:sz w:val="18"/>
                <w:szCs w:val="18"/>
              </w:rPr>
              <w:t xml:space="preserve">hiriat 5 stele, între 101-200 spaţii de cazare (camere), situate în oraşe şi staţiuni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256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256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256 lei </w:t>
            </w:r>
          </w:p>
        </w:tc>
      </w:tr>
      <w:tr w:rsidR="00000000">
        <w:trPr>
          <w:trHeight w:val="85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32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Hotel, hotel-apartament, apartamente şi camere de închiriat 5 stele, peste 200 spaţii de cazare (camere), situate în comune şi sate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238</w:t>
            </w:r>
            <w:r>
              <w:rPr>
                <w:rFonts w:ascii="Arial" w:eastAsia="Times New Roman" w:hAnsi="Arial" w:cs="Arial"/>
                <w:color w:val="333333"/>
                <w:sz w:val="18"/>
                <w:szCs w:val="18"/>
              </w:rPr>
              <w:t xml:space="preserve"> lei plus 49 lei pentru fiecare tranşă suplimentară de 50 de camere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238 lei plus 49 lei pentru fiecare tranşă suplimentară de 50 de camere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238 lei plus 49 lei pentru fiecare tranşă suplimentară de 50 de camere </w:t>
            </w:r>
          </w:p>
        </w:tc>
      </w:tr>
      <w:tr w:rsidR="00000000">
        <w:trPr>
          <w:trHeight w:val="85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Hotel, hotel-apartament, apartamente şi camere de închiriat 5 stele, peste 200 spaţii de cazare (camere), situate în oraşe şi staţiuni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256 lei plus 58 lei pentru fiecare tranşă suplimentară de 50 de camere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256 lei plus 58 lei pentru fiecare tranşă suplim</w:t>
            </w:r>
            <w:r>
              <w:rPr>
                <w:rFonts w:ascii="Arial" w:eastAsia="Times New Roman" w:hAnsi="Arial" w:cs="Arial"/>
                <w:color w:val="333333"/>
                <w:sz w:val="18"/>
                <w:szCs w:val="18"/>
              </w:rPr>
              <w:t xml:space="preserve">entară de 50 de camere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256 lei plus 58 lei pentru fiecare tranşă suplimentară de 50 de camere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E </w:t>
            </w:r>
          </w:p>
        </w:tc>
        <w:tc>
          <w:tcPr>
            <w:tcW w:w="10785" w:type="dxa"/>
            <w:gridSpan w:val="4"/>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Transporturi</w:t>
            </w:r>
            <w:r>
              <w:rPr>
                <w:rStyle w:val="Strong"/>
                <w:rFonts w:ascii="Arial" w:eastAsia="Times New Roman" w:hAnsi="Arial" w:cs="Arial"/>
                <w:color w:val="333333"/>
                <w:sz w:val="18"/>
                <w:szCs w:val="18"/>
                <w:vertAlign w:val="superscript"/>
              </w:rPr>
              <w:t>2),5),13)</w:t>
            </w:r>
            <w:r>
              <w:rPr>
                <w:rStyle w:val="Strong"/>
                <w:rFonts w:ascii="Arial" w:eastAsia="Times New Roman" w:hAnsi="Arial" w:cs="Arial"/>
                <w:color w:val="333333"/>
                <w:sz w:val="18"/>
                <w:szCs w:val="18"/>
              </w:rPr>
              <w:t xml:space="preserve">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E1 </w:t>
            </w:r>
          </w:p>
        </w:tc>
        <w:tc>
          <w:tcPr>
            <w:tcW w:w="10785" w:type="dxa"/>
            <w:gridSpan w:val="4"/>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Transporturi rutiere de pasageri - mijloc de transport echipat cu instalaţie de sonorizare, radio, TV, căşti pentru asculta</w:t>
            </w:r>
            <w:r>
              <w:rPr>
                <w:rStyle w:val="Strong"/>
                <w:rFonts w:ascii="Arial" w:eastAsia="Times New Roman" w:hAnsi="Arial" w:cs="Arial"/>
                <w:color w:val="333333"/>
                <w:sz w:val="18"/>
                <w:szCs w:val="18"/>
              </w:rPr>
              <w:t>re individuală, indiferent dacă sunt în regim rent a car</w:t>
            </w:r>
            <w:r>
              <w:rPr>
                <w:rStyle w:val="Strong"/>
                <w:rFonts w:ascii="Arial" w:eastAsia="Times New Roman" w:hAnsi="Arial" w:cs="Arial"/>
                <w:color w:val="333333"/>
                <w:sz w:val="18"/>
                <w:szCs w:val="18"/>
                <w:vertAlign w:val="superscript"/>
              </w:rPr>
              <w:t>13)</w:t>
            </w:r>
            <w:r>
              <w:rPr>
                <w:rStyle w:val="Strong"/>
                <w:rFonts w:ascii="Arial" w:eastAsia="Times New Roman" w:hAnsi="Arial" w:cs="Arial"/>
                <w:color w:val="333333"/>
                <w:sz w:val="18"/>
                <w:szCs w:val="18"/>
              </w:rPr>
              <w:t xml:space="preserve"> sau colaborare sau leasing etc.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rPr>
                <w:rFonts w:eastAsia="Times New Roman"/>
                <w:sz w:val="20"/>
                <w:szCs w:val="20"/>
              </w:rPr>
            </w:pPr>
          </w:p>
        </w:tc>
        <w:tc>
          <w:tcPr>
            <w:tcW w:w="2700"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Tip încadrare </w:t>
            </w:r>
          </w:p>
        </w:tc>
        <w:tc>
          <w:tcPr>
            <w:tcW w:w="8100" w:type="dxa"/>
            <w:gridSpan w:val="3"/>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Remuneraţie lunară (fără TVA)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ascii="Arial" w:eastAsia="Times New Roman" w:hAnsi="Arial" w:cs="Arial"/>
                <w:color w:val="333333"/>
                <w:sz w:val="18"/>
                <w:szCs w:val="18"/>
              </w:rPr>
            </w:pP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Producători de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audiovizual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Vehicul de agrement (tractor, trenuleţ, remorcă, platformă)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lei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Autobuz, troleibuz, tramvai şi microbuz utilizate în transportul regulat de persoane urban, suburban şi interu</w:t>
            </w:r>
            <w:r>
              <w:rPr>
                <w:rFonts w:ascii="Arial" w:eastAsia="Times New Roman" w:hAnsi="Arial" w:cs="Arial"/>
                <w:color w:val="333333"/>
                <w:sz w:val="18"/>
                <w:szCs w:val="18"/>
              </w:rPr>
              <w:t xml:space="preserve">rban pe trasee sub 35 km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Autoturism până la 6 locuri utilizat în serviciul de taxi</w:t>
            </w:r>
            <w:r>
              <w:rPr>
                <w:rFonts w:ascii="Arial" w:eastAsia="Times New Roman" w:hAnsi="Arial" w:cs="Arial"/>
                <w:color w:val="333333"/>
                <w:sz w:val="18"/>
                <w:szCs w:val="18"/>
                <w:vertAlign w:val="superscript"/>
              </w:rPr>
              <w:t>6)</w:t>
            </w:r>
            <w:r>
              <w:rPr>
                <w:rFonts w:ascii="Arial" w:eastAsia="Times New Roman" w:hAnsi="Arial" w:cs="Arial"/>
                <w:color w:val="333333"/>
                <w:sz w:val="18"/>
                <w:szCs w:val="18"/>
              </w:rPr>
              <w:t xml:space="preserv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Autoturism până la 6 locuri utilizat în serviciul de închiriere (rent a car)</w:t>
            </w:r>
            <w:r>
              <w:rPr>
                <w:rFonts w:ascii="Arial" w:eastAsia="Times New Roman" w:hAnsi="Arial" w:cs="Arial"/>
                <w:color w:val="333333"/>
                <w:sz w:val="18"/>
                <w:szCs w:val="18"/>
                <w:vertAlign w:val="superscript"/>
              </w:rPr>
              <w:t>14)</w:t>
            </w:r>
            <w:r>
              <w:rPr>
                <w:rFonts w:ascii="Arial" w:eastAsia="Times New Roman" w:hAnsi="Arial" w:cs="Arial"/>
                <w:color w:val="333333"/>
                <w:sz w:val="18"/>
                <w:szCs w:val="18"/>
              </w:rPr>
              <w:t xml:space="preserv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Microbuz/Minibuz, indiferent de numărul de locuri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Autobuz utilizat în transportul naţional, interurban/ interjudeţean pe trasee mai mari de 35 km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Autocar utilizat în transportul naţional, interurban/ interjudeţean pe trasee mai mici de 35 km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Autocar utilizat în transportul naţional, interurban/ interjudeţean pe trasee mai mari de 35 km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58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58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19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Autoc</w:t>
            </w:r>
            <w:r>
              <w:rPr>
                <w:rFonts w:ascii="Arial" w:eastAsia="Times New Roman" w:hAnsi="Arial" w:cs="Arial"/>
                <w:color w:val="333333"/>
                <w:sz w:val="18"/>
                <w:szCs w:val="18"/>
              </w:rPr>
              <w:t xml:space="preserve">ar utilizat în transportul internaţional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106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106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23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E2 </w:t>
            </w:r>
          </w:p>
        </w:tc>
        <w:tc>
          <w:tcPr>
            <w:tcW w:w="10785" w:type="dxa"/>
            <w:gridSpan w:val="4"/>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Autogări, spaţii de aşteptare pentru pasageri</w:t>
            </w:r>
            <w:r>
              <w:rPr>
                <w:rStyle w:val="Strong"/>
                <w:rFonts w:ascii="Arial" w:eastAsia="Times New Roman" w:hAnsi="Arial" w:cs="Arial"/>
                <w:color w:val="333333"/>
                <w:sz w:val="18"/>
                <w:szCs w:val="18"/>
                <w:vertAlign w:val="superscript"/>
              </w:rPr>
              <w:t>1),2),3)</w:t>
            </w:r>
            <w:r>
              <w:rPr>
                <w:rStyle w:val="Strong"/>
                <w:rFonts w:ascii="Arial" w:eastAsia="Times New Roman" w:hAnsi="Arial" w:cs="Arial"/>
                <w:color w:val="333333"/>
                <w:sz w:val="18"/>
                <w:szCs w:val="18"/>
              </w:rPr>
              <w:t xml:space="preserve"> - spaţiu dotat cu instalaţie de sonorizare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rPr>
                <w:rFonts w:eastAsia="Times New Roman"/>
                <w:sz w:val="20"/>
                <w:szCs w:val="20"/>
              </w:rPr>
            </w:pPr>
          </w:p>
        </w:tc>
        <w:tc>
          <w:tcPr>
            <w:tcW w:w="2700"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Tip încadrare </w:t>
            </w:r>
          </w:p>
        </w:tc>
        <w:tc>
          <w:tcPr>
            <w:tcW w:w="8100" w:type="dxa"/>
            <w:gridSpan w:val="3"/>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Remuneraţie lunară (fără TVA)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ascii="Arial" w:eastAsia="Times New Roman" w:hAnsi="Arial" w:cs="Arial"/>
                <w:color w:val="333333"/>
                <w:sz w:val="18"/>
                <w:szCs w:val="18"/>
              </w:rPr>
            </w:pP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Producători de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audiovizual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Autogară sală de aşteptare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E3 </w:t>
            </w:r>
          </w:p>
        </w:tc>
        <w:tc>
          <w:tcPr>
            <w:tcW w:w="10785" w:type="dxa"/>
            <w:gridSpan w:val="4"/>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Transporturi feroviare de pasageri - garnitură feroviară echipată cu instalaţie de sonorizare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rPr>
                <w:rFonts w:eastAsia="Times New Roman"/>
                <w:sz w:val="20"/>
                <w:szCs w:val="20"/>
              </w:rPr>
            </w:pPr>
          </w:p>
        </w:tc>
        <w:tc>
          <w:tcPr>
            <w:tcW w:w="2700"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Tip încadrare </w:t>
            </w:r>
          </w:p>
        </w:tc>
        <w:tc>
          <w:tcPr>
            <w:tcW w:w="8100" w:type="dxa"/>
            <w:gridSpan w:val="3"/>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Remuneraţie lunară (fără TVA)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ascii="Arial" w:eastAsia="Times New Roman" w:hAnsi="Arial" w:cs="Arial"/>
                <w:color w:val="333333"/>
                <w:sz w:val="18"/>
                <w:szCs w:val="18"/>
              </w:rPr>
            </w:pP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Producători de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audiovizual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Tren de pasageri în trafic intern (fără vagon-restaurant; dacă are vagon-restaurant se va adăuga suplimentar)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49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49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 lei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Tren de pasageri în trafic internaţional (fără vagon- res</w:t>
            </w:r>
            <w:r>
              <w:rPr>
                <w:rFonts w:ascii="Arial" w:eastAsia="Times New Roman" w:hAnsi="Arial" w:cs="Arial"/>
                <w:color w:val="333333"/>
                <w:sz w:val="18"/>
                <w:szCs w:val="18"/>
              </w:rPr>
              <w:t xml:space="preserve">taurant; dacă are vagon-restaurant se va adăuga suplimentar)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68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68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Vagon-restaurant în trafic intern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49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49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Vagon-restaurant în trafic internaţional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68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68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E4 </w:t>
            </w:r>
          </w:p>
        </w:tc>
        <w:tc>
          <w:tcPr>
            <w:tcW w:w="10785" w:type="dxa"/>
            <w:gridSpan w:val="4"/>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Gări, staţii de metrou şi spaţii de aşteptare</w:t>
            </w:r>
            <w:r>
              <w:rPr>
                <w:rStyle w:val="Strong"/>
                <w:rFonts w:ascii="Arial" w:eastAsia="Times New Roman" w:hAnsi="Arial" w:cs="Arial"/>
                <w:color w:val="333333"/>
                <w:sz w:val="18"/>
                <w:szCs w:val="18"/>
                <w:vertAlign w:val="superscript"/>
              </w:rPr>
              <w:t>1),3)</w:t>
            </w:r>
            <w:r>
              <w:rPr>
                <w:rStyle w:val="Strong"/>
                <w:rFonts w:ascii="Arial" w:eastAsia="Times New Roman" w:hAnsi="Arial" w:cs="Arial"/>
                <w:color w:val="333333"/>
                <w:sz w:val="18"/>
                <w:szCs w:val="18"/>
              </w:rPr>
              <w:t xml:space="preserve">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rPr>
                <w:rFonts w:eastAsia="Times New Roman"/>
                <w:sz w:val="20"/>
                <w:szCs w:val="20"/>
              </w:rPr>
            </w:pPr>
          </w:p>
        </w:tc>
        <w:tc>
          <w:tcPr>
            <w:tcW w:w="2700"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Tip încadrare </w:t>
            </w:r>
          </w:p>
        </w:tc>
        <w:tc>
          <w:tcPr>
            <w:tcW w:w="8100" w:type="dxa"/>
            <w:gridSpan w:val="3"/>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Remuneraţie lunară (fără TVA)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ascii="Arial" w:eastAsia="Times New Roman" w:hAnsi="Arial" w:cs="Arial"/>
                <w:color w:val="333333"/>
                <w:sz w:val="18"/>
                <w:szCs w:val="18"/>
              </w:rPr>
            </w:pP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Producători de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Artiştiinterpreţi ori executanţi pentru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ori executanţi pentru audiovizual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Gări şi peroane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Staţie de metrou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Sală de aşteptare în cadrul gării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E5 </w:t>
            </w:r>
          </w:p>
        </w:tc>
        <w:tc>
          <w:tcPr>
            <w:tcW w:w="10785" w:type="dxa"/>
            <w:gridSpan w:val="4"/>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Transport aerian de pasageri - aeronavă echipată cu instalaţie de sonorizare, radio, TV, căşti pentru ascultare individuală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rPr>
                <w:rFonts w:eastAsia="Times New Roman"/>
                <w:sz w:val="20"/>
                <w:szCs w:val="20"/>
              </w:rPr>
            </w:pPr>
          </w:p>
        </w:tc>
        <w:tc>
          <w:tcPr>
            <w:tcW w:w="2700"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Tip încadrare </w:t>
            </w:r>
          </w:p>
        </w:tc>
        <w:tc>
          <w:tcPr>
            <w:tcW w:w="8100" w:type="dxa"/>
            <w:gridSpan w:val="3"/>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Remuneraţie lunară (fără TVA)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ascii="Arial" w:eastAsia="Times New Roman" w:hAnsi="Arial" w:cs="Arial"/>
                <w:color w:val="333333"/>
                <w:sz w:val="18"/>
                <w:szCs w:val="18"/>
              </w:rPr>
            </w:pP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Producători de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w:t>
            </w:r>
            <w:r>
              <w:rPr>
                <w:rFonts w:ascii="Arial" w:eastAsia="Times New Roman" w:hAnsi="Arial" w:cs="Arial"/>
                <w:color w:val="333333"/>
                <w:sz w:val="18"/>
                <w:szCs w:val="18"/>
              </w:rPr>
              <w:t xml:space="preserve">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audiovizual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Aeronavă de pasageri cursă internă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49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49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Aeronavă de pasageri cursă continentală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94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94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35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Aeronavă de pasageri cursă intercontinentală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184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184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81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E6 </w:t>
            </w:r>
          </w:p>
        </w:tc>
        <w:tc>
          <w:tcPr>
            <w:tcW w:w="10785" w:type="dxa"/>
            <w:gridSpan w:val="4"/>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Aeroporturi, spaţii de aşteptare pentru pasageri</w:t>
            </w:r>
            <w:r>
              <w:rPr>
                <w:rStyle w:val="Strong"/>
                <w:rFonts w:ascii="Arial" w:eastAsia="Times New Roman" w:hAnsi="Arial" w:cs="Arial"/>
                <w:color w:val="333333"/>
                <w:sz w:val="18"/>
                <w:szCs w:val="18"/>
                <w:vertAlign w:val="superscript"/>
              </w:rPr>
              <w:t>1),3)</w:t>
            </w:r>
            <w:r>
              <w:rPr>
                <w:rStyle w:val="Strong"/>
                <w:rFonts w:ascii="Arial" w:eastAsia="Times New Roman" w:hAnsi="Arial" w:cs="Arial"/>
                <w:color w:val="333333"/>
                <w:sz w:val="18"/>
                <w:szCs w:val="18"/>
              </w:rPr>
              <w:t xml:space="preserve"> - spaţiu dotat cu instalaţie de sonorizare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rPr>
                <w:rFonts w:eastAsia="Times New Roman"/>
                <w:sz w:val="20"/>
                <w:szCs w:val="20"/>
              </w:rPr>
            </w:pPr>
          </w:p>
        </w:tc>
        <w:tc>
          <w:tcPr>
            <w:tcW w:w="2700"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Tip încadrare </w:t>
            </w:r>
          </w:p>
        </w:tc>
        <w:tc>
          <w:tcPr>
            <w:tcW w:w="8100" w:type="dxa"/>
            <w:gridSpan w:val="3"/>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Remuneraţie lunară (fără TVA)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ascii="Arial" w:eastAsia="Times New Roman" w:hAnsi="Arial" w:cs="Arial"/>
                <w:color w:val="333333"/>
                <w:sz w:val="18"/>
                <w:szCs w:val="18"/>
              </w:rPr>
            </w:pP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Producători de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Artiştiinterpreţi ori executanţi pentru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ori executanţi pentru audiovizual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Aeroport intern, internaţional - sală de aşteptare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64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64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E7 </w:t>
            </w:r>
          </w:p>
        </w:tc>
        <w:tc>
          <w:tcPr>
            <w:tcW w:w="10785" w:type="dxa"/>
            <w:gridSpan w:val="4"/>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Ambarcaţiuni navale pentru transportul de agrement - dotate cu instalaţie de sonorizare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rPr>
                <w:rFonts w:eastAsia="Times New Roman"/>
                <w:sz w:val="20"/>
                <w:szCs w:val="20"/>
              </w:rPr>
            </w:pPr>
          </w:p>
        </w:tc>
        <w:tc>
          <w:tcPr>
            <w:tcW w:w="2700"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Tip încadrare </w:t>
            </w:r>
          </w:p>
        </w:tc>
        <w:tc>
          <w:tcPr>
            <w:tcW w:w="8100" w:type="dxa"/>
            <w:gridSpan w:val="3"/>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Remuneraţie lunară (fără TVA)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ascii="Arial" w:eastAsia="Times New Roman" w:hAnsi="Arial" w:cs="Arial"/>
                <w:color w:val="333333"/>
                <w:sz w:val="18"/>
                <w:szCs w:val="18"/>
              </w:rPr>
            </w:pP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Producători de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audiovizual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Ambarcaţiune de agrement cu până la 2 locuri de dormit</w:t>
            </w:r>
            <w:r>
              <w:rPr>
                <w:rFonts w:ascii="Arial" w:eastAsia="Times New Roman" w:hAnsi="Arial" w:cs="Arial"/>
                <w:color w:val="333333"/>
                <w:sz w:val="18"/>
                <w:szCs w:val="18"/>
                <w:vertAlign w:val="superscript"/>
              </w:rPr>
              <w:t>14)</w:t>
            </w:r>
            <w:r>
              <w:rPr>
                <w:rFonts w:ascii="Arial" w:eastAsia="Times New Roman" w:hAnsi="Arial" w:cs="Arial"/>
                <w:color w:val="333333"/>
                <w:sz w:val="18"/>
                <w:szCs w:val="18"/>
              </w:rPr>
              <w:t xml:space="preserv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Ambarcaţiune de agrement între 3-6 locuri de dormit</w:t>
            </w:r>
            <w:r>
              <w:rPr>
                <w:rFonts w:ascii="Arial" w:eastAsia="Times New Roman" w:hAnsi="Arial" w:cs="Arial"/>
                <w:color w:val="333333"/>
                <w:sz w:val="18"/>
                <w:szCs w:val="18"/>
                <w:vertAlign w:val="superscript"/>
              </w:rPr>
              <w:t>14)</w:t>
            </w:r>
            <w:r>
              <w:rPr>
                <w:rFonts w:ascii="Arial" w:eastAsia="Times New Roman" w:hAnsi="Arial" w:cs="Arial"/>
                <w:color w:val="333333"/>
                <w:sz w:val="18"/>
                <w:szCs w:val="18"/>
              </w:rPr>
              <w:t xml:space="preserv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19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19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Ambarcaţiune de agrement între 7-12 locuri de dormit</w:t>
            </w:r>
            <w:r>
              <w:rPr>
                <w:rFonts w:ascii="Arial" w:eastAsia="Times New Roman" w:hAnsi="Arial" w:cs="Arial"/>
                <w:color w:val="333333"/>
                <w:sz w:val="18"/>
                <w:szCs w:val="18"/>
                <w:vertAlign w:val="superscript"/>
              </w:rPr>
              <w:t>14)</w:t>
            </w:r>
            <w:r>
              <w:rPr>
                <w:rFonts w:ascii="Arial" w:eastAsia="Times New Roman" w:hAnsi="Arial" w:cs="Arial"/>
                <w:color w:val="333333"/>
                <w:sz w:val="18"/>
                <w:szCs w:val="18"/>
              </w:rPr>
              <w:t xml:space="preserv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23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23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12 lei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Ambarcaţiune de agrement peste 12 locuri de dormit</w:t>
            </w:r>
            <w:r>
              <w:rPr>
                <w:rFonts w:ascii="Arial" w:eastAsia="Times New Roman" w:hAnsi="Arial" w:cs="Arial"/>
                <w:color w:val="333333"/>
                <w:sz w:val="18"/>
                <w:szCs w:val="18"/>
                <w:vertAlign w:val="superscript"/>
              </w:rPr>
              <w:t>14)</w:t>
            </w:r>
            <w:r>
              <w:rPr>
                <w:rFonts w:ascii="Arial" w:eastAsia="Times New Roman" w:hAnsi="Arial" w:cs="Arial"/>
                <w:color w:val="333333"/>
                <w:sz w:val="18"/>
                <w:szCs w:val="18"/>
              </w:rPr>
              <w:t xml:space="preserv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 lei plus 3 lei pentru f</w:t>
            </w:r>
            <w:r>
              <w:rPr>
                <w:rFonts w:ascii="Arial" w:eastAsia="Times New Roman" w:hAnsi="Arial" w:cs="Arial"/>
                <w:color w:val="333333"/>
                <w:sz w:val="18"/>
                <w:szCs w:val="18"/>
              </w:rPr>
              <w:t xml:space="preserve">iecare loc de dormit suplimentar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 lei plus 3 lei pentru fiecare loc de dormit suplimentar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 lei plus 1 lei pentru fiecare loc de dormit suplimentar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Ambarcaţiuni de transport pasageri capacitate până la 50 de pasageri (fără posibilităţi de cazare)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 lei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Ambarcaţiuni de transport pasageri capacitate între 51-100 de pasageri (fără posibilităţi de cazare)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12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Ambarcaţiuni de transport pasageri capacitate peste 100 de pasageri (fără posibilităţi de cazare)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58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58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E8 </w:t>
            </w:r>
          </w:p>
        </w:tc>
        <w:tc>
          <w:tcPr>
            <w:tcW w:w="10785" w:type="dxa"/>
            <w:gridSpan w:val="4"/>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Transport pe cablu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rPr>
                <w:rFonts w:eastAsia="Times New Roman"/>
                <w:sz w:val="20"/>
                <w:szCs w:val="20"/>
              </w:rPr>
            </w:pPr>
          </w:p>
        </w:tc>
        <w:tc>
          <w:tcPr>
            <w:tcW w:w="2700"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Tip încadrare </w:t>
            </w:r>
          </w:p>
        </w:tc>
        <w:tc>
          <w:tcPr>
            <w:tcW w:w="8100" w:type="dxa"/>
            <w:gridSpan w:val="3"/>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Remuneraţie lunară (fără TVA)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ascii="Arial" w:eastAsia="Times New Roman" w:hAnsi="Arial" w:cs="Arial"/>
                <w:color w:val="333333"/>
                <w:sz w:val="18"/>
                <w:szCs w:val="18"/>
              </w:rPr>
            </w:pP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Producători de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audiovizual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Telecabină - telegondolă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Spaţii de aşteptare pentru telecabine, telegondole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Lifturi şi ascensoare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E9 </w:t>
            </w:r>
          </w:p>
        </w:tc>
        <w:tc>
          <w:tcPr>
            <w:tcW w:w="10785" w:type="dxa"/>
            <w:gridSpan w:val="4"/>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Parcări auto - dotate cu instalaţii de sonorizare - spaţii închise sau deschise</w:t>
            </w:r>
            <w:r>
              <w:rPr>
                <w:rStyle w:val="Strong"/>
                <w:rFonts w:ascii="Arial" w:eastAsia="Times New Roman" w:hAnsi="Arial" w:cs="Arial"/>
                <w:color w:val="333333"/>
                <w:sz w:val="18"/>
                <w:szCs w:val="18"/>
                <w:vertAlign w:val="superscript"/>
              </w:rPr>
              <w:t>1), 2)</w:t>
            </w:r>
            <w:r>
              <w:rPr>
                <w:rStyle w:val="Strong"/>
                <w:rFonts w:ascii="Arial" w:eastAsia="Times New Roman" w:hAnsi="Arial" w:cs="Arial"/>
                <w:color w:val="333333"/>
                <w:sz w:val="18"/>
                <w:szCs w:val="18"/>
              </w:rPr>
              <w:t xml:space="preserve">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rPr>
                <w:rFonts w:eastAsia="Times New Roman"/>
                <w:sz w:val="20"/>
                <w:szCs w:val="20"/>
              </w:rPr>
            </w:pPr>
          </w:p>
        </w:tc>
        <w:tc>
          <w:tcPr>
            <w:tcW w:w="2700"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Tip încadrare </w:t>
            </w:r>
          </w:p>
        </w:tc>
        <w:tc>
          <w:tcPr>
            <w:tcW w:w="8100" w:type="dxa"/>
            <w:gridSpan w:val="3"/>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Remuneraţie lunară (fără TVA)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ascii="Arial" w:eastAsia="Times New Roman" w:hAnsi="Arial" w:cs="Arial"/>
                <w:color w:val="333333"/>
                <w:sz w:val="18"/>
                <w:szCs w:val="18"/>
              </w:rPr>
            </w:pP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Producători de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Artiştiinterpreţi ori executanţi pentru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ori executanţi pentru audiovizual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Parcare până la 500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Parcări între 501 mp-1.000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41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41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lei </w:t>
            </w:r>
          </w:p>
        </w:tc>
      </w:tr>
      <w:tr w:rsidR="00000000">
        <w:trPr>
          <w:trHeight w:val="85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Parcări peste 1.000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41 lei plus 13 lei pentru fiecare suprafaţă suplimentară de până la 500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41 lei plus 13 lei pentru fiecare suprafaţă suplimentară de până la 500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F </w:t>
            </w:r>
          </w:p>
        </w:tc>
        <w:tc>
          <w:tcPr>
            <w:tcW w:w="10785" w:type="dxa"/>
            <w:gridSpan w:val="4"/>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Sport şi agrement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F1 </w:t>
            </w:r>
          </w:p>
        </w:tc>
        <w:tc>
          <w:tcPr>
            <w:tcW w:w="10785" w:type="dxa"/>
            <w:gridSpan w:val="4"/>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Stadioane, complexuri sportive, săli de sport dotate cu instalaţii de sonorizare - spaţii închise sau deschise situate în oraşe, staţiuni turistice, comune şi sate</w:t>
            </w:r>
            <w:r>
              <w:rPr>
                <w:rStyle w:val="Strong"/>
                <w:rFonts w:ascii="Arial" w:eastAsia="Times New Roman" w:hAnsi="Arial" w:cs="Arial"/>
                <w:color w:val="333333"/>
                <w:sz w:val="18"/>
                <w:szCs w:val="18"/>
                <w:vertAlign w:val="superscript"/>
              </w:rPr>
              <w:t>1),2)</w:t>
            </w:r>
            <w:r>
              <w:rPr>
                <w:rStyle w:val="Strong"/>
                <w:rFonts w:ascii="Arial" w:eastAsia="Times New Roman" w:hAnsi="Arial" w:cs="Arial"/>
                <w:color w:val="333333"/>
                <w:sz w:val="18"/>
                <w:szCs w:val="18"/>
              </w:rPr>
              <w:t xml:space="preserve">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rPr>
                <w:rFonts w:eastAsia="Times New Roman"/>
                <w:sz w:val="20"/>
                <w:szCs w:val="20"/>
              </w:rPr>
            </w:pPr>
          </w:p>
        </w:tc>
        <w:tc>
          <w:tcPr>
            <w:tcW w:w="2700"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Tip încadrare </w:t>
            </w:r>
          </w:p>
        </w:tc>
        <w:tc>
          <w:tcPr>
            <w:tcW w:w="8100" w:type="dxa"/>
            <w:gridSpan w:val="3"/>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Remuneraţie/manifestaţie (fără TVA)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ascii="Arial" w:eastAsia="Times New Roman" w:hAnsi="Arial" w:cs="Arial"/>
                <w:color w:val="333333"/>
                <w:sz w:val="18"/>
                <w:szCs w:val="18"/>
              </w:rPr>
            </w:pP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Producători de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audiovizual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Sub 1.000 de locuri (scaune)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Între 1.000-5.000 de locuri (scaune)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49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49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 lei </w:t>
            </w:r>
          </w:p>
        </w:tc>
      </w:tr>
      <w:tr w:rsidR="00000000">
        <w:trPr>
          <w:trHeight w:val="85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Peste 5.000 de locuri (scaune)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163 lei plus 49 lei pentru fiecare tranşă de până la 5.000 locuri (scaune) suplimentare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163 lei plus 49 lei pentru fiecare tranşă de până la 5.000 locuri (scaune) suplimentare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80 lei plus 24 lei pentru fiecare tranşă</w:t>
            </w:r>
            <w:r>
              <w:rPr>
                <w:rFonts w:ascii="Arial" w:eastAsia="Times New Roman" w:hAnsi="Arial" w:cs="Arial"/>
                <w:color w:val="333333"/>
                <w:sz w:val="18"/>
                <w:szCs w:val="18"/>
              </w:rPr>
              <w:t xml:space="preserve"> de până la 5.000 locuri (scaune) suplimentare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F2 </w:t>
            </w:r>
          </w:p>
        </w:tc>
        <w:tc>
          <w:tcPr>
            <w:tcW w:w="10785" w:type="dxa"/>
            <w:gridSpan w:val="4"/>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Piscine, ştranduri, litoral, parcuri de distracţii şi/sau agrement, pârtii de schi şi patinoare, locuri de joacă pentru copii, săli de fitness, culturism, masaj etc. - deschise publicului - dotate cu in</w:t>
            </w:r>
            <w:r>
              <w:rPr>
                <w:rStyle w:val="Strong"/>
                <w:rFonts w:ascii="Arial" w:eastAsia="Times New Roman" w:hAnsi="Arial" w:cs="Arial"/>
                <w:color w:val="333333"/>
                <w:sz w:val="18"/>
                <w:szCs w:val="18"/>
              </w:rPr>
              <w:t>stalaţii de sonorizare</w:t>
            </w:r>
            <w:r>
              <w:rPr>
                <w:rStyle w:val="Strong"/>
                <w:rFonts w:ascii="Arial" w:eastAsia="Times New Roman" w:hAnsi="Arial" w:cs="Arial"/>
                <w:color w:val="333333"/>
                <w:sz w:val="18"/>
                <w:szCs w:val="18"/>
                <w:vertAlign w:val="superscript"/>
              </w:rPr>
              <w:t>1), 2)</w:t>
            </w:r>
            <w:r>
              <w:rPr>
                <w:rStyle w:val="Strong"/>
                <w:rFonts w:ascii="Arial" w:eastAsia="Times New Roman" w:hAnsi="Arial" w:cs="Arial"/>
                <w:color w:val="333333"/>
                <w:sz w:val="18"/>
                <w:szCs w:val="18"/>
              </w:rPr>
              <w:t xml:space="preserve">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rPr>
                <w:rFonts w:eastAsia="Times New Roman"/>
                <w:sz w:val="20"/>
                <w:szCs w:val="20"/>
              </w:rPr>
            </w:pPr>
          </w:p>
        </w:tc>
        <w:tc>
          <w:tcPr>
            <w:tcW w:w="2700"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Tip încadrare </w:t>
            </w:r>
          </w:p>
        </w:tc>
        <w:tc>
          <w:tcPr>
            <w:tcW w:w="8100" w:type="dxa"/>
            <w:gridSpan w:val="3"/>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Remuneraţie lunară (fără TVA)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ascii="Arial" w:eastAsia="Times New Roman" w:hAnsi="Arial" w:cs="Arial"/>
                <w:color w:val="333333"/>
                <w:sz w:val="18"/>
                <w:szCs w:val="18"/>
              </w:rPr>
            </w:pP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Producători de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Artiştiinterpreţi ori executanţi pentru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ori executanţi pentru audiovizual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Piscină şi ştrand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41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Piscină hotel până la categoria 3 stele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41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Piscină hotel categoria 4 stele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97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97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49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Piscină hotel categoria 5 stele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131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131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64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Plajă cu suprafaţă până la 200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72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72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 lei </w:t>
            </w:r>
          </w:p>
        </w:tc>
      </w:tr>
      <w:tr w:rsidR="00000000">
        <w:trPr>
          <w:trHeight w:val="85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Plajă cu suprafaţă peste 200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72 lei plus 16 lei pentru fiecare suprafaţă suplimentară de până la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72 lei plus 16 lei pentru fiecare suprafaţă suplimentară de până la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33 lei plus 7 lei pentru fiecare suprafaţă suplimentară de până la 100 mp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Parc de distracţii şi/sau agrement până în 1.000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808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808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323 lei </w:t>
            </w:r>
          </w:p>
        </w:tc>
      </w:tr>
      <w:tr w:rsidR="00000000">
        <w:trPr>
          <w:trHeight w:val="85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Parc de distracţii şi/sau agrement peste 1.000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808 lei plus 80 lei pentru fiecare supra</w:t>
            </w:r>
            <w:r>
              <w:rPr>
                <w:rFonts w:ascii="Arial" w:eastAsia="Times New Roman" w:hAnsi="Arial" w:cs="Arial"/>
                <w:color w:val="333333"/>
                <w:sz w:val="18"/>
                <w:szCs w:val="18"/>
              </w:rPr>
              <w:t xml:space="preserve">faţă suplimentară de până la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808 lei plus 80 lei pentru fiecare suprafaţă suplimentară de până la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Pârtie cu instalaţie de sonorizare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405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405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10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Patinoar cu suprafaţă până în 500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lei </w:t>
            </w:r>
          </w:p>
        </w:tc>
      </w:tr>
      <w:tr w:rsidR="00000000">
        <w:trPr>
          <w:trHeight w:val="85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11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Patinoar cu suprafaţă mai mare de 500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 lei plus 16 lei pentru fiecare suprafaţă suplimentară de până la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 lei plus 16 lei pentru fiecare suprafaţă suplimentară de până la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12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Locuri de joacă pentru copii cu suprafaţa pân</w:t>
            </w:r>
            <w:r>
              <w:rPr>
                <w:rFonts w:ascii="Arial" w:eastAsia="Times New Roman" w:hAnsi="Arial" w:cs="Arial"/>
                <w:color w:val="333333"/>
                <w:sz w:val="18"/>
                <w:szCs w:val="18"/>
              </w:rPr>
              <w:t xml:space="preserve">ă în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49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49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 lei </w:t>
            </w:r>
          </w:p>
        </w:tc>
      </w:tr>
      <w:tr w:rsidR="00000000">
        <w:trPr>
          <w:trHeight w:val="85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Locuri de joacă pentru copii cu suprafaţa peste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49 lei plus 16 lei pentru fiecare suprafaţă suplimentară de până la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49 lei plus 16 lei pentru fiecare suprafaţă suplimentară de până la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 lei plus 7 lei pentru fiecare suprafaţă suplimentară de până la 100 mp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14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Sală de fitness şi/sau culturism până în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49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49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 lei </w:t>
            </w:r>
          </w:p>
        </w:tc>
      </w:tr>
      <w:tr w:rsidR="00000000">
        <w:trPr>
          <w:trHeight w:val="85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Sală de fitness şi/sau culturism peste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49 lei plus 16 lei pentru fiecare suprafaţă supli</w:t>
            </w:r>
            <w:r>
              <w:rPr>
                <w:rFonts w:ascii="Arial" w:eastAsia="Times New Roman" w:hAnsi="Arial" w:cs="Arial"/>
                <w:color w:val="333333"/>
                <w:sz w:val="18"/>
                <w:szCs w:val="18"/>
              </w:rPr>
              <w:t xml:space="preserve">mentară de până la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49 lei plus 16 lei pentru fiecare suprafaţă suplimentară de până la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24 lei plus 7 lei pentru fiecare suprafaţă suplimentară de până la 100 mp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de masaj</w:t>
            </w:r>
            <w:r>
              <w:rPr>
                <w:rFonts w:ascii="Arial" w:eastAsia="Times New Roman" w:hAnsi="Arial" w:cs="Arial"/>
                <w:color w:val="333333"/>
                <w:sz w:val="18"/>
                <w:szCs w:val="18"/>
                <w:vertAlign w:val="superscript"/>
              </w:rPr>
              <w:t>15)</w:t>
            </w:r>
            <w:r>
              <w:rPr>
                <w:rFonts w:ascii="Arial" w:eastAsia="Times New Roman" w:hAnsi="Arial" w:cs="Arial"/>
                <w:color w:val="333333"/>
                <w:sz w:val="18"/>
                <w:szCs w:val="18"/>
              </w:rPr>
              <w:t xml:space="preserv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41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17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de masaj (în hotel până la categoria 3 stele inclusiv)</w:t>
            </w:r>
            <w:r>
              <w:rPr>
                <w:rFonts w:ascii="Arial" w:eastAsia="Times New Roman" w:hAnsi="Arial" w:cs="Arial"/>
                <w:color w:val="333333"/>
                <w:sz w:val="18"/>
                <w:szCs w:val="18"/>
                <w:vertAlign w:val="superscript"/>
              </w:rPr>
              <w:t>15)</w:t>
            </w:r>
            <w:r>
              <w:rPr>
                <w:rFonts w:ascii="Arial" w:eastAsia="Times New Roman" w:hAnsi="Arial" w:cs="Arial"/>
                <w:color w:val="333333"/>
                <w:sz w:val="18"/>
                <w:szCs w:val="18"/>
              </w:rPr>
              <w:t xml:space="preserv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113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113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58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de masaj (în hotel categoria 4 stele)</w:t>
            </w:r>
            <w:r>
              <w:rPr>
                <w:rFonts w:ascii="Arial" w:eastAsia="Times New Roman" w:hAnsi="Arial" w:cs="Arial"/>
                <w:color w:val="333333"/>
                <w:sz w:val="18"/>
                <w:szCs w:val="18"/>
                <w:vertAlign w:val="superscript"/>
              </w:rPr>
              <w:t>15)</w:t>
            </w:r>
            <w:r>
              <w:rPr>
                <w:rFonts w:ascii="Arial" w:eastAsia="Times New Roman" w:hAnsi="Arial" w:cs="Arial"/>
                <w:color w:val="333333"/>
                <w:sz w:val="18"/>
                <w:szCs w:val="18"/>
              </w:rPr>
              <w:t xml:space="preserv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131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131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64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19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de masaj (în hotel categoria 5 stele)</w:t>
            </w:r>
            <w:r>
              <w:rPr>
                <w:rFonts w:ascii="Arial" w:eastAsia="Times New Roman" w:hAnsi="Arial" w:cs="Arial"/>
                <w:color w:val="333333"/>
                <w:sz w:val="18"/>
                <w:szCs w:val="18"/>
                <w:vertAlign w:val="superscript"/>
              </w:rPr>
              <w:t>15)</w:t>
            </w:r>
            <w:r>
              <w:rPr>
                <w:rFonts w:ascii="Arial" w:eastAsia="Times New Roman" w:hAnsi="Arial" w:cs="Arial"/>
                <w:color w:val="333333"/>
                <w:sz w:val="18"/>
                <w:szCs w:val="18"/>
              </w:rPr>
              <w:t xml:space="preserv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163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163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G </w:t>
            </w:r>
          </w:p>
        </w:tc>
        <w:tc>
          <w:tcPr>
            <w:tcW w:w="10785" w:type="dxa"/>
            <w:gridSpan w:val="4"/>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Birouri şi spaţii de producţie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rPr>
                <w:rFonts w:eastAsia="Times New Roman"/>
                <w:sz w:val="20"/>
                <w:szCs w:val="20"/>
              </w:rPr>
            </w:pPr>
          </w:p>
        </w:tc>
        <w:tc>
          <w:tcPr>
            <w:tcW w:w="2700"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Tip încadrare </w:t>
            </w:r>
          </w:p>
        </w:tc>
        <w:tc>
          <w:tcPr>
            <w:tcW w:w="8100" w:type="dxa"/>
            <w:gridSpan w:val="3"/>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Remuneraţie lunară (fără TVA)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ascii="Arial" w:eastAsia="Times New Roman" w:hAnsi="Arial" w:cs="Arial"/>
                <w:color w:val="333333"/>
                <w:sz w:val="18"/>
                <w:szCs w:val="18"/>
              </w:rPr>
            </w:pP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Producători de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audiovizual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Până la 30 de persoane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81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81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41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Până la 100 de persoane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115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115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64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Peste 100 de persoane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167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167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80 lei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H </w:t>
            </w:r>
          </w:p>
        </w:tc>
        <w:tc>
          <w:tcPr>
            <w:tcW w:w="10785" w:type="dxa"/>
            <w:gridSpan w:val="4"/>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Telecomunicaţii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rPr>
                <w:rFonts w:eastAsia="Times New Roman"/>
                <w:sz w:val="20"/>
                <w:szCs w:val="20"/>
              </w:rPr>
            </w:pPr>
          </w:p>
        </w:tc>
        <w:tc>
          <w:tcPr>
            <w:tcW w:w="2700"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Tip încadrare </w:t>
            </w:r>
          </w:p>
        </w:tc>
        <w:tc>
          <w:tcPr>
            <w:tcW w:w="8100" w:type="dxa"/>
            <w:gridSpan w:val="3"/>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Remuneraţie lunară (fără TVA)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ascii="Arial" w:eastAsia="Times New Roman" w:hAnsi="Arial" w:cs="Arial"/>
                <w:color w:val="333333"/>
                <w:sz w:val="18"/>
                <w:szCs w:val="18"/>
              </w:rPr>
            </w:pP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Producători de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Artiştiinterpreţi ori executanţi pentru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ori executanţi pentru audiovizual </w:t>
            </w:r>
          </w:p>
        </w:tc>
      </w:tr>
      <w:tr w:rsidR="00000000">
        <w:trPr>
          <w:trHeight w:val="31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Centrală telefonică cu apel în aşteptare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163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163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lei </w:t>
            </w:r>
          </w:p>
        </w:tc>
      </w:tr>
    </w:tbl>
    <w:p w:rsidR="00000000" w:rsidRDefault="00985B66">
      <w:pPr>
        <w:pStyle w:val="al"/>
        <w:spacing w:line="345" w:lineRule="atLeast"/>
        <w:rPr>
          <w:rFonts w:ascii="Arial" w:hAnsi="Arial" w:cs="Arial"/>
          <w:color w:val="333333"/>
          <w:sz w:val="21"/>
          <w:szCs w:val="21"/>
        </w:rPr>
      </w:pPr>
      <w:r>
        <w:rPr>
          <w:rFonts w:ascii="Arial" w:hAnsi="Arial" w:cs="Arial"/>
          <w:color w:val="333333"/>
          <w:sz w:val="21"/>
          <w:szCs w:val="21"/>
          <w:vertAlign w:val="superscript"/>
        </w:rPr>
        <w:t>1</w:t>
      </w:r>
      <w:r>
        <w:rPr>
          <w:rFonts w:ascii="Arial" w:hAnsi="Arial" w:cs="Arial"/>
          <w:color w:val="333333"/>
          <w:sz w:val="21"/>
          <w:szCs w:val="21"/>
          <w:vertAlign w:val="superscript"/>
        </w:rPr>
        <w:t>)</w:t>
      </w:r>
      <w:r>
        <w:rPr>
          <w:rFonts w:ascii="Arial" w:hAnsi="Arial" w:cs="Arial"/>
          <w:color w:val="333333"/>
          <w:sz w:val="21"/>
          <w:szCs w:val="21"/>
        </w:rPr>
        <w:t xml:space="preserve"> </w:t>
      </w:r>
      <w:r>
        <w:rPr>
          <w:rFonts w:ascii="Arial" w:hAnsi="Arial" w:cs="Arial"/>
          <w:color w:val="333333"/>
          <w:sz w:val="21"/>
          <w:szCs w:val="21"/>
        </w:rPr>
        <w:t xml:space="preserve">La încadrarea în tabel vor fi luate în calcul suprafeţele comerciale (închise sau deschise) utile, inclusiv ringurile de dans. Utilizatorul trebuie </w:t>
      </w:r>
      <w:proofErr w:type="gramStart"/>
      <w:r>
        <w:rPr>
          <w:rFonts w:ascii="Arial" w:hAnsi="Arial" w:cs="Arial"/>
          <w:color w:val="333333"/>
          <w:sz w:val="21"/>
          <w:szCs w:val="21"/>
        </w:rPr>
        <w:t>să</w:t>
      </w:r>
      <w:proofErr w:type="gramEnd"/>
      <w:r>
        <w:rPr>
          <w:rFonts w:ascii="Arial" w:hAnsi="Arial" w:cs="Arial"/>
          <w:color w:val="333333"/>
          <w:sz w:val="21"/>
          <w:szCs w:val="21"/>
        </w:rPr>
        <w:t xml:space="preserve"> achite o remuneraţie distinctă pentru fiecare spaţiu deţinut în parte. </w:t>
      </w:r>
      <w:proofErr w:type="gramStart"/>
      <w:r>
        <w:rPr>
          <w:rFonts w:ascii="Arial" w:hAnsi="Arial" w:cs="Arial"/>
          <w:color w:val="333333"/>
          <w:sz w:val="21"/>
          <w:szCs w:val="21"/>
        </w:rPr>
        <w:t>În cazul în care într-un anumit sp</w:t>
      </w:r>
      <w:r>
        <w:rPr>
          <w:rFonts w:ascii="Arial" w:hAnsi="Arial" w:cs="Arial"/>
          <w:color w:val="333333"/>
          <w:sz w:val="21"/>
          <w:szCs w:val="21"/>
        </w:rPr>
        <w:t>aţiu aceeaşi suprafaţă este utilizată pentru mai multe activităţi, remuneraţia cuvenită organismului de gestiune colectivă a drepturilor conexe ale producătorilor de fonograme şi ale artiştilor interpreţi sau executanţi pentru fonograme şi pentru audiovizu</w:t>
      </w:r>
      <w:r>
        <w:rPr>
          <w:rFonts w:ascii="Arial" w:hAnsi="Arial" w:cs="Arial"/>
          <w:color w:val="333333"/>
          <w:sz w:val="21"/>
          <w:szCs w:val="21"/>
        </w:rPr>
        <w:t>al pentru comunicarea publică în regim ambiental şi/sau lucrativ se va achita pentru fiecare activitate desfăşurată în parte, corespunzătoare fiecărei utilizări, indiferent de numărul acestora</w:t>
      </w:r>
      <w:r>
        <w:rPr>
          <w:rFonts w:ascii="Arial" w:hAnsi="Arial" w:cs="Arial"/>
          <w:color w:val="333333"/>
          <w:sz w:val="21"/>
          <w:szCs w:val="21"/>
        </w:rPr>
        <w:t>.</w:t>
      </w:r>
      <w:proofErr w:type="gramEnd"/>
    </w:p>
    <w:p w:rsidR="00000000" w:rsidRDefault="00985B66">
      <w:pPr>
        <w:pStyle w:val="al"/>
        <w:spacing w:line="345" w:lineRule="atLeast"/>
        <w:rPr>
          <w:rFonts w:ascii="Arial" w:hAnsi="Arial" w:cs="Arial"/>
          <w:color w:val="333333"/>
          <w:sz w:val="21"/>
          <w:szCs w:val="21"/>
        </w:rPr>
      </w:pPr>
      <w:r>
        <w:rPr>
          <w:rFonts w:ascii="Arial" w:hAnsi="Arial" w:cs="Arial"/>
          <w:color w:val="333333"/>
          <w:sz w:val="21"/>
          <w:szCs w:val="21"/>
          <w:vertAlign w:val="superscript"/>
        </w:rPr>
        <w:t>2</w:t>
      </w:r>
      <w:r>
        <w:rPr>
          <w:rFonts w:ascii="Arial" w:hAnsi="Arial" w:cs="Arial"/>
          <w:color w:val="333333"/>
          <w:sz w:val="21"/>
          <w:szCs w:val="21"/>
          <w:vertAlign w:val="superscript"/>
        </w:rPr>
        <w:t>)</w:t>
      </w:r>
      <w:r>
        <w:rPr>
          <w:rFonts w:ascii="Arial" w:hAnsi="Arial" w:cs="Arial"/>
          <w:color w:val="333333"/>
          <w:sz w:val="21"/>
          <w:szCs w:val="21"/>
        </w:rPr>
        <w:t xml:space="preserve"> Remuneraţiile echitabile prevăzute în tabele se consideră d</w:t>
      </w:r>
      <w:r>
        <w:rPr>
          <w:rFonts w:ascii="Arial" w:hAnsi="Arial" w:cs="Arial"/>
          <w:color w:val="333333"/>
          <w:sz w:val="21"/>
          <w:szCs w:val="21"/>
        </w:rPr>
        <w:t>atorate indiferent de durata efectivă a comunicării publice şi de numărul fonogramelor de comerţ/fonogramelor publicate în scop comercial sau al reproducerilor acestora şi/sau al prestaţiilor artistice din domeniul audiovizual, comunicate public în regim a</w:t>
      </w:r>
      <w:r>
        <w:rPr>
          <w:rFonts w:ascii="Arial" w:hAnsi="Arial" w:cs="Arial"/>
          <w:color w:val="333333"/>
          <w:sz w:val="21"/>
          <w:szCs w:val="21"/>
        </w:rPr>
        <w:t>mbiental sau lucrativ</w:t>
      </w:r>
      <w:r>
        <w:rPr>
          <w:rFonts w:ascii="Arial" w:hAnsi="Arial" w:cs="Arial"/>
          <w:color w:val="333333"/>
          <w:sz w:val="21"/>
          <w:szCs w:val="21"/>
        </w:rPr>
        <w:t>.</w:t>
      </w:r>
    </w:p>
    <w:p w:rsidR="00000000" w:rsidRDefault="00985B66">
      <w:pPr>
        <w:pStyle w:val="al"/>
        <w:spacing w:line="345" w:lineRule="atLeast"/>
        <w:rPr>
          <w:rFonts w:ascii="Arial" w:hAnsi="Arial" w:cs="Arial"/>
          <w:color w:val="333333"/>
          <w:sz w:val="21"/>
          <w:szCs w:val="21"/>
        </w:rPr>
      </w:pPr>
      <w:r>
        <w:rPr>
          <w:rFonts w:ascii="Arial" w:hAnsi="Arial" w:cs="Arial"/>
          <w:color w:val="333333"/>
          <w:sz w:val="21"/>
          <w:szCs w:val="21"/>
          <w:vertAlign w:val="superscript"/>
        </w:rPr>
        <w:t>3</w:t>
      </w:r>
      <w:r>
        <w:rPr>
          <w:rFonts w:ascii="Arial" w:hAnsi="Arial" w:cs="Arial"/>
          <w:color w:val="333333"/>
          <w:sz w:val="21"/>
          <w:szCs w:val="21"/>
          <w:vertAlign w:val="superscript"/>
        </w:rPr>
        <w:t>)</w:t>
      </w:r>
      <w:r>
        <w:rPr>
          <w:rFonts w:ascii="Arial" w:hAnsi="Arial" w:cs="Arial"/>
          <w:color w:val="333333"/>
          <w:sz w:val="21"/>
          <w:szCs w:val="21"/>
        </w:rPr>
        <w:t xml:space="preserve"> La încadrarea în tabel vor fi luate în calcul suprafeţele comerciale (închise sau deschise), excluzându-se spaţiile anexă (depozite, magazii, spaţii sanitare). Utilizatorul trebuie </w:t>
      </w:r>
      <w:proofErr w:type="gramStart"/>
      <w:r>
        <w:rPr>
          <w:rFonts w:ascii="Arial" w:hAnsi="Arial" w:cs="Arial"/>
          <w:color w:val="333333"/>
          <w:sz w:val="21"/>
          <w:szCs w:val="21"/>
        </w:rPr>
        <w:t>să</w:t>
      </w:r>
      <w:proofErr w:type="gramEnd"/>
      <w:r>
        <w:rPr>
          <w:rFonts w:ascii="Arial" w:hAnsi="Arial" w:cs="Arial"/>
          <w:color w:val="333333"/>
          <w:sz w:val="21"/>
          <w:szCs w:val="21"/>
        </w:rPr>
        <w:t xml:space="preserve"> achite o remuneraţie distinctă pentru fiecare </w:t>
      </w:r>
      <w:r>
        <w:rPr>
          <w:rFonts w:ascii="Arial" w:hAnsi="Arial" w:cs="Arial"/>
          <w:color w:val="333333"/>
          <w:sz w:val="21"/>
          <w:szCs w:val="21"/>
        </w:rPr>
        <w:t>spaţiu deţinut în parte</w:t>
      </w:r>
      <w:r>
        <w:rPr>
          <w:rFonts w:ascii="Arial" w:hAnsi="Arial" w:cs="Arial"/>
          <w:color w:val="333333"/>
          <w:sz w:val="21"/>
          <w:szCs w:val="21"/>
        </w:rPr>
        <w:t>.</w:t>
      </w:r>
    </w:p>
    <w:p w:rsidR="00000000" w:rsidRDefault="00985B66">
      <w:pPr>
        <w:pStyle w:val="al"/>
        <w:spacing w:line="345" w:lineRule="atLeast"/>
        <w:rPr>
          <w:rFonts w:ascii="Arial" w:hAnsi="Arial" w:cs="Arial"/>
          <w:color w:val="333333"/>
          <w:sz w:val="21"/>
          <w:szCs w:val="21"/>
        </w:rPr>
      </w:pPr>
      <w:r>
        <w:rPr>
          <w:rFonts w:ascii="Arial" w:hAnsi="Arial" w:cs="Arial"/>
          <w:color w:val="333333"/>
          <w:sz w:val="21"/>
          <w:szCs w:val="21"/>
          <w:vertAlign w:val="superscript"/>
        </w:rPr>
        <w:t>4</w:t>
      </w:r>
      <w:r>
        <w:rPr>
          <w:rFonts w:ascii="Arial" w:hAnsi="Arial" w:cs="Arial"/>
          <w:color w:val="333333"/>
          <w:sz w:val="21"/>
          <w:szCs w:val="21"/>
          <w:vertAlign w:val="superscript"/>
        </w:rPr>
        <w:t>)</w:t>
      </w:r>
      <w:r>
        <w:rPr>
          <w:rFonts w:ascii="Arial" w:hAnsi="Arial" w:cs="Arial"/>
          <w:color w:val="333333"/>
          <w:sz w:val="21"/>
          <w:szCs w:val="21"/>
        </w:rPr>
        <w:t xml:space="preserve"> La încadrarea în tabel se </w:t>
      </w:r>
      <w:proofErr w:type="gramStart"/>
      <w:r>
        <w:rPr>
          <w:rFonts w:ascii="Arial" w:hAnsi="Arial" w:cs="Arial"/>
          <w:color w:val="333333"/>
          <w:sz w:val="21"/>
          <w:szCs w:val="21"/>
        </w:rPr>
        <w:t>va</w:t>
      </w:r>
      <w:proofErr w:type="gramEnd"/>
      <w:r>
        <w:rPr>
          <w:rFonts w:ascii="Arial" w:hAnsi="Arial" w:cs="Arial"/>
          <w:color w:val="333333"/>
          <w:sz w:val="21"/>
          <w:szCs w:val="21"/>
        </w:rPr>
        <w:t xml:space="preserve"> ţine cont de existenţa echipamentelor radio-TV în camere/spaţii</w:t>
      </w:r>
      <w:r>
        <w:rPr>
          <w:rFonts w:ascii="Arial" w:hAnsi="Arial" w:cs="Arial"/>
          <w:color w:val="333333"/>
          <w:sz w:val="21"/>
          <w:szCs w:val="21"/>
        </w:rPr>
        <w:t>.</w:t>
      </w:r>
    </w:p>
    <w:p w:rsidR="00000000" w:rsidRDefault="00985B66">
      <w:pPr>
        <w:pStyle w:val="al"/>
        <w:spacing w:line="345" w:lineRule="atLeast"/>
        <w:rPr>
          <w:rFonts w:ascii="Arial" w:hAnsi="Arial" w:cs="Arial"/>
          <w:color w:val="333333"/>
          <w:sz w:val="21"/>
          <w:szCs w:val="21"/>
        </w:rPr>
      </w:pPr>
      <w:r>
        <w:rPr>
          <w:rFonts w:ascii="Arial" w:hAnsi="Arial" w:cs="Arial"/>
          <w:color w:val="333333"/>
          <w:sz w:val="21"/>
          <w:szCs w:val="21"/>
          <w:vertAlign w:val="superscript"/>
        </w:rPr>
        <w:t>5</w:t>
      </w:r>
      <w:r>
        <w:rPr>
          <w:rFonts w:ascii="Arial" w:hAnsi="Arial" w:cs="Arial"/>
          <w:color w:val="333333"/>
          <w:sz w:val="21"/>
          <w:szCs w:val="21"/>
          <w:vertAlign w:val="superscript"/>
        </w:rPr>
        <w:t>)</w:t>
      </w:r>
      <w:r>
        <w:rPr>
          <w:rFonts w:ascii="Arial" w:hAnsi="Arial" w:cs="Arial"/>
          <w:color w:val="333333"/>
          <w:sz w:val="21"/>
          <w:szCs w:val="21"/>
        </w:rPr>
        <w:t xml:space="preserve"> Încadrarea în tabel, pentru toate tipurile de mijloace de transport, se face numai în cazul celor înregistrate în registrele române</w:t>
      </w:r>
      <w:r>
        <w:rPr>
          <w:rFonts w:ascii="Arial" w:hAnsi="Arial" w:cs="Arial"/>
          <w:color w:val="333333"/>
          <w:sz w:val="21"/>
          <w:szCs w:val="21"/>
        </w:rPr>
        <w:t>, după caz, auto, feroviar, naval sau aerian</w:t>
      </w:r>
      <w:r>
        <w:rPr>
          <w:rFonts w:ascii="Arial" w:hAnsi="Arial" w:cs="Arial"/>
          <w:color w:val="333333"/>
          <w:sz w:val="21"/>
          <w:szCs w:val="21"/>
        </w:rPr>
        <w:t>.</w:t>
      </w:r>
    </w:p>
    <w:p w:rsidR="00000000" w:rsidRDefault="00985B66">
      <w:pPr>
        <w:pStyle w:val="al"/>
        <w:spacing w:line="345" w:lineRule="atLeast"/>
        <w:rPr>
          <w:rFonts w:ascii="Arial" w:hAnsi="Arial" w:cs="Arial"/>
          <w:color w:val="333333"/>
          <w:sz w:val="21"/>
          <w:szCs w:val="21"/>
        </w:rPr>
      </w:pPr>
      <w:r>
        <w:rPr>
          <w:rFonts w:ascii="Arial" w:hAnsi="Arial" w:cs="Arial"/>
          <w:color w:val="333333"/>
          <w:sz w:val="21"/>
          <w:szCs w:val="21"/>
          <w:vertAlign w:val="superscript"/>
        </w:rPr>
        <w:t>6</w:t>
      </w:r>
      <w:r>
        <w:rPr>
          <w:rFonts w:ascii="Arial" w:hAnsi="Arial" w:cs="Arial"/>
          <w:color w:val="333333"/>
          <w:sz w:val="21"/>
          <w:szCs w:val="21"/>
          <w:vertAlign w:val="superscript"/>
        </w:rPr>
        <w:t>)</w:t>
      </w:r>
      <w:r>
        <w:rPr>
          <w:rFonts w:ascii="Arial" w:hAnsi="Arial" w:cs="Arial"/>
          <w:color w:val="333333"/>
          <w:sz w:val="21"/>
          <w:szCs w:val="21"/>
        </w:rPr>
        <w:t xml:space="preserve"> În cazul transporturilor rutiere de pasageri - autoturism până la 6 locuri (taxi), remuneraţia se achită pentru fiecare autoturism în parte, indiferent de forma de colaborare în cadrul căreia acesta activeaz</w:t>
      </w:r>
      <w:r>
        <w:rPr>
          <w:rFonts w:ascii="Arial" w:hAnsi="Arial" w:cs="Arial"/>
          <w:color w:val="333333"/>
          <w:sz w:val="21"/>
          <w:szCs w:val="21"/>
        </w:rPr>
        <w:t>ă sub sigla unei companii de taximetrie</w:t>
      </w:r>
      <w:r>
        <w:rPr>
          <w:rFonts w:ascii="Arial" w:hAnsi="Arial" w:cs="Arial"/>
          <w:color w:val="333333"/>
          <w:sz w:val="21"/>
          <w:szCs w:val="21"/>
        </w:rPr>
        <w:t>.</w:t>
      </w:r>
    </w:p>
    <w:p w:rsidR="00000000" w:rsidRDefault="00985B66">
      <w:pPr>
        <w:pStyle w:val="al"/>
        <w:spacing w:line="345" w:lineRule="atLeast"/>
        <w:rPr>
          <w:rFonts w:ascii="Arial" w:hAnsi="Arial" w:cs="Arial"/>
          <w:color w:val="333333"/>
          <w:sz w:val="21"/>
          <w:szCs w:val="21"/>
        </w:rPr>
      </w:pPr>
      <w:r>
        <w:rPr>
          <w:rFonts w:ascii="Arial" w:hAnsi="Arial" w:cs="Arial"/>
          <w:color w:val="333333"/>
          <w:sz w:val="21"/>
          <w:szCs w:val="21"/>
          <w:vertAlign w:val="superscript"/>
        </w:rPr>
        <w:t>7</w:t>
      </w:r>
      <w:r>
        <w:rPr>
          <w:rFonts w:ascii="Arial" w:hAnsi="Arial" w:cs="Arial"/>
          <w:color w:val="333333"/>
          <w:sz w:val="21"/>
          <w:szCs w:val="21"/>
          <w:vertAlign w:val="superscript"/>
        </w:rPr>
        <w:t>)</w:t>
      </w:r>
      <w:r>
        <w:rPr>
          <w:rFonts w:ascii="Arial" w:hAnsi="Arial" w:cs="Arial"/>
          <w:color w:val="333333"/>
          <w:sz w:val="21"/>
          <w:szCs w:val="21"/>
        </w:rPr>
        <w:t xml:space="preserve"> Exceptând standurile publicitare amplasate în cadrul expoziţiilor de artă, ştiinţă şi carte</w:t>
      </w:r>
      <w:r>
        <w:rPr>
          <w:rFonts w:ascii="Arial" w:hAnsi="Arial" w:cs="Arial"/>
          <w:color w:val="333333"/>
          <w:sz w:val="21"/>
          <w:szCs w:val="21"/>
        </w:rPr>
        <w:t>.</w:t>
      </w:r>
    </w:p>
    <w:p w:rsidR="00000000" w:rsidRDefault="00985B66">
      <w:pPr>
        <w:pStyle w:val="al"/>
        <w:spacing w:line="345" w:lineRule="atLeast"/>
        <w:rPr>
          <w:rFonts w:ascii="Arial" w:hAnsi="Arial" w:cs="Arial"/>
          <w:color w:val="333333"/>
          <w:sz w:val="21"/>
          <w:szCs w:val="21"/>
        </w:rPr>
      </w:pPr>
      <w:r>
        <w:rPr>
          <w:rFonts w:ascii="Arial" w:hAnsi="Arial" w:cs="Arial"/>
          <w:color w:val="333333"/>
          <w:sz w:val="21"/>
          <w:szCs w:val="21"/>
          <w:vertAlign w:val="superscript"/>
        </w:rPr>
        <w:t>8</w:t>
      </w:r>
      <w:r>
        <w:rPr>
          <w:rFonts w:ascii="Arial" w:hAnsi="Arial" w:cs="Arial"/>
          <w:color w:val="333333"/>
          <w:sz w:val="21"/>
          <w:szCs w:val="21"/>
          <w:vertAlign w:val="superscript"/>
        </w:rPr>
        <w:t>)</w:t>
      </w:r>
      <w:r>
        <w:rPr>
          <w:rFonts w:ascii="Arial" w:hAnsi="Arial" w:cs="Arial"/>
          <w:color w:val="333333"/>
          <w:sz w:val="21"/>
          <w:szCs w:val="21"/>
        </w:rPr>
        <w:t xml:space="preserve"> Tarifele nu includ zona de recepţie, zonele de alimentaţie publică din incinta unităţii de cazare (bar şi restaurant</w:t>
      </w:r>
      <w:r>
        <w:rPr>
          <w:rFonts w:ascii="Arial" w:hAnsi="Arial" w:cs="Arial"/>
          <w:color w:val="333333"/>
          <w:sz w:val="21"/>
          <w:szCs w:val="21"/>
        </w:rPr>
        <w:t>, sală mic dejun etc.), sălile de evenimente, barurile cu program, night-cluburile sau cluburile. Acestea, precum şi alte activităţi gen piscină, sală de fitness, săli de masaj, coafor, apel în aşteptare etc. se vor achita separat, conform tabelelor din pr</w:t>
      </w:r>
      <w:r>
        <w:rPr>
          <w:rFonts w:ascii="Arial" w:hAnsi="Arial" w:cs="Arial"/>
          <w:color w:val="333333"/>
          <w:sz w:val="21"/>
          <w:szCs w:val="21"/>
        </w:rPr>
        <w:t xml:space="preserve">ezenta metodologie, atunci când zonele şi spaţiile menţionate sunt in folosinţa altei entităţi juridice decât cea care realizează activitatea de cazare. </w:t>
      </w:r>
      <w:proofErr w:type="gramStart"/>
      <w:r>
        <w:rPr>
          <w:rFonts w:ascii="Arial" w:hAnsi="Arial" w:cs="Arial"/>
          <w:color w:val="333333"/>
          <w:sz w:val="21"/>
          <w:szCs w:val="21"/>
        </w:rPr>
        <w:t>Când zonele şi spaţiile menţionate sau doar o parte din acestea sunt în folosinţa aceleiaşi entităţi ju</w:t>
      </w:r>
      <w:r>
        <w:rPr>
          <w:rFonts w:ascii="Arial" w:hAnsi="Arial" w:cs="Arial"/>
          <w:color w:val="333333"/>
          <w:sz w:val="21"/>
          <w:szCs w:val="21"/>
        </w:rPr>
        <w:t>ridice care realizează activitatea de cazare, remuneraţia datorată de această entitate juridică este cea corespunzătoare clasificării, numărului de camere şi locaţiei pentru activitatea de cazare, la care se adaugă 50% din remuneraţia datorată pentru fieca</w:t>
      </w:r>
      <w:r>
        <w:rPr>
          <w:rFonts w:ascii="Arial" w:hAnsi="Arial" w:cs="Arial"/>
          <w:color w:val="333333"/>
          <w:sz w:val="21"/>
          <w:szCs w:val="21"/>
        </w:rPr>
        <w:t>re dintre spaţiile şi zonele din incinta unităţii de cazare pe care le foloseşte.</w:t>
      </w:r>
      <w:proofErr w:type="gramEnd"/>
      <w:r>
        <w:rPr>
          <w:rFonts w:ascii="Arial" w:hAnsi="Arial" w:cs="Arial"/>
          <w:color w:val="333333"/>
          <w:sz w:val="21"/>
          <w:szCs w:val="21"/>
        </w:rPr>
        <w:t xml:space="preserve"> Pentru spaţiile folosite de alte entităţi juridice remuneraţia se datorează separat şi integral de aceste din urmă entităţi juridice, conform tabelelor din prezenta metodolog</w:t>
      </w:r>
      <w:r>
        <w:rPr>
          <w:rFonts w:ascii="Arial" w:hAnsi="Arial" w:cs="Arial"/>
          <w:color w:val="333333"/>
          <w:sz w:val="21"/>
          <w:szCs w:val="21"/>
        </w:rPr>
        <w:t>ie</w:t>
      </w:r>
      <w:r>
        <w:rPr>
          <w:rFonts w:ascii="Arial" w:hAnsi="Arial" w:cs="Arial"/>
          <w:color w:val="333333"/>
          <w:sz w:val="21"/>
          <w:szCs w:val="21"/>
        </w:rPr>
        <w:t>.</w:t>
      </w:r>
    </w:p>
    <w:p w:rsidR="00000000" w:rsidRDefault="00985B66">
      <w:pPr>
        <w:pStyle w:val="al"/>
        <w:spacing w:line="345" w:lineRule="atLeast"/>
        <w:rPr>
          <w:rFonts w:ascii="Arial" w:hAnsi="Arial" w:cs="Arial"/>
          <w:color w:val="333333"/>
          <w:sz w:val="21"/>
          <w:szCs w:val="21"/>
        </w:rPr>
      </w:pPr>
      <w:r>
        <w:rPr>
          <w:rFonts w:ascii="Arial" w:hAnsi="Arial" w:cs="Arial"/>
          <w:color w:val="333333"/>
          <w:sz w:val="21"/>
          <w:szCs w:val="21"/>
          <w:vertAlign w:val="superscript"/>
        </w:rPr>
        <w:t>9</w:t>
      </w:r>
      <w:r>
        <w:rPr>
          <w:rFonts w:ascii="Arial" w:hAnsi="Arial" w:cs="Arial"/>
          <w:color w:val="333333"/>
          <w:sz w:val="21"/>
          <w:szCs w:val="21"/>
          <w:vertAlign w:val="superscript"/>
        </w:rPr>
        <w:t>)</w:t>
      </w:r>
      <w:r>
        <w:rPr>
          <w:rFonts w:ascii="Arial" w:hAnsi="Arial" w:cs="Arial"/>
          <w:color w:val="333333"/>
          <w:sz w:val="21"/>
          <w:szCs w:val="21"/>
        </w:rPr>
        <w:t xml:space="preserve"> Dacă în cadrul unei unităţi de cazare sunt spaţii de cazare (camere) cu clasificări (stele/margarete) diferite, se </w:t>
      </w:r>
      <w:proofErr w:type="gramStart"/>
      <w:r>
        <w:rPr>
          <w:rFonts w:ascii="Arial" w:hAnsi="Arial" w:cs="Arial"/>
          <w:color w:val="333333"/>
          <w:sz w:val="21"/>
          <w:szCs w:val="21"/>
        </w:rPr>
        <w:t>va</w:t>
      </w:r>
      <w:proofErr w:type="gramEnd"/>
      <w:r>
        <w:rPr>
          <w:rFonts w:ascii="Arial" w:hAnsi="Arial" w:cs="Arial"/>
          <w:color w:val="333333"/>
          <w:sz w:val="21"/>
          <w:szCs w:val="21"/>
        </w:rPr>
        <w:t xml:space="preserve"> plăti remuneraţia corespunzătoare pentru fiecare categorie în parte, potrivit certificatului de clasificare al unităţii de cazare</w:t>
      </w:r>
      <w:r>
        <w:rPr>
          <w:rFonts w:ascii="Arial" w:hAnsi="Arial" w:cs="Arial"/>
          <w:color w:val="333333"/>
          <w:sz w:val="21"/>
          <w:szCs w:val="21"/>
        </w:rPr>
        <w:t>.</w:t>
      </w:r>
    </w:p>
    <w:p w:rsidR="00000000" w:rsidRDefault="00985B66">
      <w:pPr>
        <w:pStyle w:val="al"/>
        <w:spacing w:line="345" w:lineRule="atLeast"/>
        <w:rPr>
          <w:rFonts w:ascii="Arial" w:hAnsi="Arial" w:cs="Arial"/>
          <w:color w:val="333333"/>
          <w:sz w:val="21"/>
          <w:szCs w:val="21"/>
        </w:rPr>
      </w:pPr>
      <w:r>
        <w:rPr>
          <w:rFonts w:ascii="Arial" w:hAnsi="Arial" w:cs="Arial"/>
          <w:color w:val="333333"/>
          <w:sz w:val="21"/>
          <w:szCs w:val="21"/>
          <w:vertAlign w:val="superscript"/>
        </w:rPr>
        <w:t>10</w:t>
      </w:r>
      <w:r>
        <w:rPr>
          <w:rFonts w:ascii="Arial" w:hAnsi="Arial" w:cs="Arial"/>
          <w:color w:val="333333"/>
          <w:sz w:val="21"/>
          <w:szCs w:val="21"/>
          <w:vertAlign w:val="superscript"/>
        </w:rPr>
        <w:t>)</w:t>
      </w:r>
      <w:r>
        <w:rPr>
          <w:rFonts w:ascii="Arial" w:hAnsi="Arial" w:cs="Arial"/>
          <w:color w:val="333333"/>
          <w:sz w:val="21"/>
          <w:szCs w:val="21"/>
        </w:rPr>
        <w:t xml:space="preserve"> Târgurile sau expoziţiile datorează remuneraţia indiferent de specificul acestora - produse agroalimentare, industriale, navale, bunuri de larg consum, auto, moto, naval, sport, agrement etc</w:t>
      </w:r>
      <w:r>
        <w:rPr>
          <w:rFonts w:ascii="Arial" w:hAnsi="Arial" w:cs="Arial"/>
          <w:color w:val="333333"/>
          <w:sz w:val="21"/>
          <w:szCs w:val="21"/>
        </w:rPr>
        <w:t>.</w:t>
      </w:r>
    </w:p>
    <w:p w:rsidR="00000000" w:rsidRDefault="00985B66">
      <w:pPr>
        <w:pStyle w:val="al"/>
        <w:spacing w:line="345" w:lineRule="atLeast"/>
        <w:rPr>
          <w:rFonts w:ascii="Arial" w:hAnsi="Arial" w:cs="Arial"/>
          <w:color w:val="333333"/>
          <w:sz w:val="21"/>
          <w:szCs w:val="21"/>
        </w:rPr>
      </w:pPr>
      <w:r>
        <w:rPr>
          <w:rFonts w:ascii="Arial" w:hAnsi="Arial" w:cs="Arial"/>
          <w:color w:val="333333"/>
          <w:sz w:val="21"/>
          <w:szCs w:val="21"/>
          <w:vertAlign w:val="superscript"/>
        </w:rPr>
        <w:t>11</w:t>
      </w:r>
      <w:r>
        <w:rPr>
          <w:rFonts w:ascii="Arial" w:hAnsi="Arial" w:cs="Arial"/>
          <w:color w:val="333333"/>
          <w:sz w:val="21"/>
          <w:szCs w:val="21"/>
          <w:vertAlign w:val="superscript"/>
        </w:rPr>
        <w:t>)</w:t>
      </w:r>
      <w:r>
        <w:rPr>
          <w:rFonts w:ascii="Arial" w:hAnsi="Arial" w:cs="Arial"/>
          <w:color w:val="333333"/>
          <w:sz w:val="21"/>
          <w:szCs w:val="21"/>
        </w:rPr>
        <w:t xml:space="preserve"> La încadrarea în tabel vor fi luate în calcul suprafeţel</w:t>
      </w:r>
      <w:r>
        <w:rPr>
          <w:rFonts w:ascii="Arial" w:hAnsi="Arial" w:cs="Arial"/>
          <w:color w:val="333333"/>
          <w:sz w:val="21"/>
          <w:szCs w:val="21"/>
        </w:rPr>
        <w:t xml:space="preserve">e comerciale (închise sau deschise) utile, excluzându-se spaţiile anexă (depozite, magazii, spaţii sanitare). Utilizatorul trebuie </w:t>
      </w:r>
      <w:proofErr w:type="gramStart"/>
      <w:r>
        <w:rPr>
          <w:rFonts w:ascii="Arial" w:hAnsi="Arial" w:cs="Arial"/>
          <w:color w:val="333333"/>
          <w:sz w:val="21"/>
          <w:szCs w:val="21"/>
        </w:rPr>
        <w:t>să</w:t>
      </w:r>
      <w:proofErr w:type="gramEnd"/>
      <w:r>
        <w:rPr>
          <w:rFonts w:ascii="Arial" w:hAnsi="Arial" w:cs="Arial"/>
          <w:color w:val="333333"/>
          <w:sz w:val="21"/>
          <w:szCs w:val="21"/>
        </w:rPr>
        <w:t xml:space="preserve"> achite o remuneraţie distinctă pentru fiecare spaţiu deţinut în parte. </w:t>
      </w:r>
      <w:proofErr w:type="gramStart"/>
      <w:r>
        <w:rPr>
          <w:rFonts w:ascii="Arial" w:hAnsi="Arial" w:cs="Arial"/>
          <w:color w:val="333333"/>
          <w:sz w:val="21"/>
          <w:szCs w:val="21"/>
        </w:rPr>
        <w:t>În cazul în care într-un anumit spaţiu aceeaşi supr</w:t>
      </w:r>
      <w:r>
        <w:rPr>
          <w:rFonts w:ascii="Arial" w:hAnsi="Arial" w:cs="Arial"/>
          <w:color w:val="333333"/>
          <w:sz w:val="21"/>
          <w:szCs w:val="21"/>
        </w:rPr>
        <w:t>afaţă este utilizată pentru mai multe activităţi, remuneraţia cuvenită organismului de gestiune colectivă a drepturilor conexe ale producătorilor de fonograme şi remuneraţia cuvenită organismului de gestiune colectivă a artiştilor interpreţi sau executanţi</w:t>
      </w:r>
      <w:r>
        <w:rPr>
          <w:rFonts w:ascii="Arial" w:hAnsi="Arial" w:cs="Arial"/>
          <w:color w:val="333333"/>
          <w:sz w:val="21"/>
          <w:szCs w:val="21"/>
        </w:rPr>
        <w:t xml:space="preserve"> pentru fonograme şi pentru prestaţii artistice din domeniul audiovizual, comunicate public în regim ambiental şi/sau lucrativ, se va achita pentru fiecare activitate desfăşurată în parte, corespunzătoare fiecărei utilizări, indiferent de numărul acestora</w:t>
      </w:r>
      <w:r>
        <w:rPr>
          <w:rFonts w:ascii="Arial" w:hAnsi="Arial" w:cs="Arial"/>
          <w:color w:val="333333"/>
          <w:sz w:val="21"/>
          <w:szCs w:val="21"/>
        </w:rPr>
        <w:t>.</w:t>
      </w:r>
      <w:proofErr w:type="gramEnd"/>
    </w:p>
    <w:p w:rsidR="00000000" w:rsidRDefault="00985B66">
      <w:pPr>
        <w:pStyle w:val="al"/>
        <w:spacing w:line="345" w:lineRule="atLeast"/>
        <w:rPr>
          <w:rFonts w:ascii="Arial" w:hAnsi="Arial" w:cs="Arial"/>
          <w:color w:val="333333"/>
          <w:sz w:val="21"/>
          <w:szCs w:val="21"/>
        </w:rPr>
      </w:pPr>
      <w:r>
        <w:rPr>
          <w:rFonts w:ascii="Arial" w:hAnsi="Arial" w:cs="Arial"/>
          <w:color w:val="333333"/>
          <w:sz w:val="21"/>
          <w:szCs w:val="21"/>
          <w:vertAlign w:val="superscript"/>
        </w:rPr>
        <w:t>12</w:t>
      </w:r>
      <w:r>
        <w:rPr>
          <w:rFonts w:ascii="Arial" w:hAnsi="Arial" w:cs="Arial"/>
          <w:color w:val="333333"/>
          <w:sz w:val="21"/>
          <w:szCs w:val="21"/>
          <w:vertAlign w:val="superscript"/>
        </w:rPr>
        <w:t>)</w:t>
      </w:r>
      <w:r>
        <w:rPr>
          <w:rFonts w:ascii="Arial" w:hAnsi="Arial" w:cs="Arial"/>
          <w:color w:val="333333"/>
          <w:sz w:val="21"/>
          <w:szCs w:val="21"/>
        </w:rPr>
        <w:t xml:space="preserve"> Remuneraţiile echitabile prevăzute în tabele se consideră datorate indiferent de durata efectivă a comunicării publice şi de numărul fonogramelor de comerţ/fonogramelor publicate în scop comercial sau al reproducerilor acestora şi/sau al prestaţiilor </w:t>
      </w:r>
      <w:r>
        <w:rPr>
          <w:rFonts w:ascii="Arial" w:hAnsi="Arial" w:cs="Arial"/>
          <w:color w:val="333333"/>
          <w:sz w:val="21"/>
          <w:szCs w:val="21"/>
        </w:rPr>
        <w:t>artistice din domeniul audiovizual, comunicate public în regim ambiental sau lucrativ</w:t>
      </w:r>
      <w:r>
        <w:rPr>
          <w:rFonts w:ascii="Arial" w:hAnsi="Arial" w:cs="Arial"/>
          <w:color w:val="333333"/>
          <w:sz w:val="21"/>
          <w:szCs w:val="21"/>
        </w:rPr>
        <w:t>.</w:t>
      </w:r>
    </w:p>
    <w:p w:rsidR="00000000" w:rsidRDefault="00985B66">
      <w:pPr>
        <w:pStyle w:val="al"/>
        <w:spacing w:line="345" w:lineRule="atLeast"/>
        <w:rPr>
          <w:rFonts w:ascii="Arial" w:hAnsi="Arial" w:cs="Arial"/>
          <w:color w:val="333333"/>
          <w:sz w:val="21"/>
          <w:szCs w:val="21"/>
        </w:rPr>
      </w:pPr>
      <w:proofErr w:type="gramStart"/>
      <w:r>
        <w:rPr>
          <w:rFonts w:ascii="Arial" w:hAnsi="Arial" w:cs="Arial"/>
          <w:color w:val="333333"/>
          <w:sz w:val="21"/>
          <w:szCs w:val="21"/>
          <w:vertAlign w:val="superscript"/>
        </w:rPr>
        <w:t>13</w:t>
      </w:r>
      <w:r>
        <w:rPr>
          <w:rFonts w:ascii="Arial" w:hAnsi="Arial" w:cs="Arial"/>
          <w:color w:val="333333"/>
          <w:sz w:val="21"/>
          <w:szCs w:val="21"/>
          <w:vertAlign w:val="superscript"/>
        </w:rPr>
        <w:t>)</w:t>
      </w:r>
      <w:r>
        <w:rPr>
          <w:rFonts w:ascii="Arial" w:hAnsi="Arial" w:cs="Arial"/>
          <w:color w:val="333333"/>
          <w:sz w:val="21"/>
          <w:szCs w:val="21"/>
        </w:rPr>
        <w:t xml:space="preserve"> În cazul oricărui tip de transport menţionat în tabel, dacă tariful practicat de transportator este impus de o autoritate publică centrală sau locală sau dacă transp</w:t>
      </w:r>
      <w:r>
        <w:rPr>
          <w:rFonts w:ascii="Arial" w:hAnsi="Arial" w:cs="Arial"/>
          <w:color w:val="333333"/>
          <w:sz w:val="21"/>
          <w:szCs w:val="21"/>
        </w:rPr>
        <w:t>ortatorul practică tariful minim acceptat de o autoritate publică, remuneraţia datorată reprezintă 50% din cuantumul înscris în tabel, cu excepţia cazului în care transportatorul primeşte subvenţii de la autoritatea respectivă pentru a-şi desfăşura activit</w:t>
      </w:r>
      <w:r>
        <w:rPr>
          <w:rFonts w:ascii="Arial" w:hAnsi="Arial" w:cs="Arial"/>
          <w:color w:val="333333"/>
          <w:sz w:val="21"/>
          <w:szCs w:val="21"/>
        </w:rPr>
        <w:t>atea în condiţiile practicării tarifului impus</w:t>
      </w:r>
      <w:r>
        <w:rPr>
          <w:rFonts w:ascii="Arial" w:hAnsi="Arial" w:cs="Arial"/>
          <w:color w:val="333333"/>
          <w:sz w:val="21"/>
          <w:szCs w:val="21"/>
        </w:rPr>
        <w:t>.</w:t>
      </w:r>
      <w:proofErr w:type="gramEnd"/>
    </w:p>
    <w:p w:rsidR="00000000" w:rsidRDefault="00985B66">
      <w:pPr>
        <w:pStyle w:val="al"/>
        <w:spacing w:line="345" w:lineRule="atLeast"/>
        <w:rPr>
          <w:rFonts w:ascii="Arial" w:hAnsi="Arial" w:cs="Arial"/>
          <w:color w:val="333333"/>
          <w:sz w:val="21"/>
          <w:szCs w:val="21"/>
        </w:rPr>
      </w:pPr>
      <w:r>
        <w:rPr>
          <w:rFonts w:ascii="Arial" w:hAnsi="Arial" w:cs="Arial"/>
          <w:color w:val="333333"/>
          <w:sz w:val="21"/>
          <w:szCs w:val="21"/>
          <w:vertAlign w:val="superscript"/>
        </w:rPr>
        <w:t>14</w:t>
      </w:r>
      <w:r>
        <w:rPr>
          <w:rFonts w:ascii="Arial" w:hAnsi="Arial" w:cs="Arial"/>
          <w:color w:val="333333"/>
          <w:sz w:val="21"/>
          <w:szCs w:val="21"/>
          <w:vertAlign w:val="superscript"/>
        </w:rPr>
        <w:t>)</w:t>
      </w:r>
      <w:r>
        <w:rPr>
          <w:rFonts w:ascii="Arial" w:hAnsi="Arial" w:cs="Arial"/>
          <w:color w:val="333333"/>
          <w:sz w:val="21"/>
          <w:szCs w:val="21"/>
        </w:rPr>
        <w:t xml:space="preserve"> Remuneraţia </w:t>
      </w:r>
      <w:proofErr w:type="gramStart"/>
      <w:r>
        <w:rPr>
          <w:rFonts w:ascii="Arial" w:hAnsi="Arial" w:cs="Arial"/>
          <w:color w:val="333333"/>
          <w:sz w:val="21"/>
          <w:szCs w:val="21"/>
        </w:rPr>
        <w:t>este</w:t>
      </w:r>
      <w:proofErr w:type="gramEnd"/>
      <w:r>
        <w:rPr>
          <w:rFonts w:ascii="Arial" w:hAnsi="Arial" w:cs="Arial"/>
          <w:color w:val="333333"/>
          <w:sz w:val="21"/>
          <w:szCs w:val="21"/>
        </w:rPr>
        <w:t xml:space="preserve"> datorată doar în măsura în care autovehiculul sau ambarcaţiunea sunt puse la dispoziţia consumatorului împreună cu personal de deservire (şofer/personal navigant)</w:t>
      </w:r>
      <w:r>
        <w:rPr>
          <w:rFonts w:ascii="Arial" w:hAnsi="Arial" w:cs="Arial"/>
          <w:color w:val="333333"/>
          <w:sz w:val="21"/>
          <w:szCs w:val="21"/>
        </w:rPr>
        <w:t>.</w:t>
      </w:r>
    </w:p>
    <w:p w:rsidR="00000000" w:rsidRDefault="00985B66">
      <w:pPr>
        <w:pStyle w:val="al"/>
        <w:spacing w:line="345" w:lineRule="atLeast"/>
        <w:rPr>
          <w:rFonts w:ascii="Arial" w:hAnsi="Arial" w:cs="Arial"/>
          <w:color w:val="333333"/>
          <w:sz w:val="21"/>
          <w:szCs w:val="21"/>
        </w:rPr>
      </w:pPr>
      <w:r>
        <w:rPr>
          <w:rFonts w:ascii="Arial" w:hAnsi="Arial" w:cs="Arial"/>
          <w:color w:val="333333"/>
          <w:sz w:val="21"/>
          <w:szCs w:val="21"/>
          <w:vertAlign w:val="superscript"/>
        </w:rPr>
        <w:t>15</w:t>
      </w:r>
      <w:r>
        <w:rPr>
          <w:rFonts w:ascii="Arial" w:hAnsi="Arial" w:cs="Arial"/>
          <w:color w:val="333333"/>
          <w:sz w:val="21"/>
          <w:szCs w:val="21"/>
          <w:vertAlign w:val="superscript"/>
        </w:rPr>
        <w:t>)</w:t>
      </w:r>
      <w:r>
        <w:rPr>
          <w:rFonts w:ascii="Arial" w:hAnsi="Arial" w:cs="Arial"/>
          <w:color w:val="333333"/>
          <w:sz w:val="21"/>
          <w:szCs w:val="21"/>
        </w:rPr>
        <w:t xml:space="preserve"> Remuneraţia nu </w:t>
      </w:r>
      <w:proofErr w:type="gramStart"/>
      <w:r>
        <w:rPr>
          <w:rFonts w:ascii="Arial" w:hAnsi="Arial" w:cs="Arial"/>
          <w:color w:val="333333"/>
          <w:sz w:val="21"/>
          <w:szCs w:val="21"/>
        </w:rPr>
        <w:t>este</w:t>
      </w:r>
      <w:proofErr w:type="gramEnd"/>
      <w:r>
        <w:rPr>
          <w:rFonts w:ascii="Arial" w:hAnsi="Arial" w:cs="Arial"/>
          <w:color w:val="333333"/>
          <w:sz w:val="21"/>
          <w:szCs w:val="21"/>
        </w:rPr>
        <w:t xml:space="preserve"> datorată când în cadrul salonului de masaj se efectuează doar masaj terapeutic sau de recuperare realizat pe baza prescripţiei medicale şi de către personal calificat pentru acest tip de masaj. Atunci când în cadrul salonului se realizează atât masaj tera</w:t>
      </w:r>
      <w:r>
        <w:rPr>
          <w:rFonts w:ascii="Arial" w:hAnsi="Arial" w:cs="Arial"/>
          <w:color w:val="333333"/>
          <w:sz w:val="21"/>
          <w:szCs w:val="21"/>
        </w:rPr>
        <w:t xml:space="preserve">peutic sau de recuperare, pe bază de prescripţie medicală, de personal calificat, cât şi masaj realizat la cererea clientului, fără prescripţie medicală, dacă timpul alocat masajului terapeutic reprezintă cel puţin 20% din programul de lucru al salonului, </w:t>
      </w:r>
      <w:r>
        <w:rPr>
          <w:rFonts w:ascii="Arial" w:hAnsi="Arial" w:cs="Arial"/>
          <w:color w:val="333333"/>
          <w:sz w:val="21"/>
          <w:szCs w:val="21"/>
        </w:rPr>
        <w:t xml:space="preserve">remuneraţia datorată reprezintă 50% din cuantumul înscris în tabel. Dovada realizării masajului terapeutic în cadrul salonului se face cu trimiterile medicale, care se păstrează de către utilizator timp de </w:t>
      </w:r>
      <w:proofErr w:type="gramStart"/>
      <w:r>
        <w:rPr>
          <w:rFonts w:ascii="Arial" w:hAnsi="Arial" w:cs="Arial"/>
          <w:color w:val="333333"/>
          <w:sz w:val="21"/>
          <w:szCs w:val="21"/>
        </w:rPr>
        <w:t>3 ani</w:t>
      </w:r>
      <w:proofErr w:type="gramEnd"/>
      <w:r>
        <w:rPr>
          <w:rFonts w:ascii="Arial" w:hAnsi="Arial" w:cs="Arial"/>
          <w:color w:val="333333"/>
          <w:sz w:val="21"/>
          <w:szCs w:val="21"/>
        </w:rPr>
        <w:t xml:space="preserve"> şi 6 luni şi se trimit lunar, în copie, prin</w:t>
      </w:r>
      <w:r>
        <w:rPr>
          <w:rFonts w:ascii="Arial" w:hAnsi="Arial" w:cs="Arial"/>
          <w:color w:val="333333"/>
          <w:sz w:val="21"/>
          <w:szCs w:val="21"/>
        </w:rPr>
        <w:t xml:space="preserve"> e-mail, organismului de gestiune colectivă</w:t>
      </w:r>
      <w:r>
        <w:rPr>
          <w:rFonts w:ascii="Arial" w:hAnsi="Arial" w:cs="Arial"/>
          <w:color w:val="333333"/>
          <w:sz w:val="21"/>
          <w:szCs w:val="21"/>
        </w:rPr>
        <w:t>.</w:t>
      </w:r>
    </w:p>
    <w:p w:rsidR="00000000" w:rsidRDefault="00985B66">
      <w:pPr>
        <w:pStyle w:val="al"/>
        <w:spacing w:line="345" w:lineRule="atLeast"/>
        <w:rPr>
          <w:rFonts w:ascii="Arial" w:hAnsi="Arial" w:cs="Arial"/>
          <w:color w:val="333333"/>
          <w:sz w:val="21"/>
          <w:szCs w:val="21"/>
        </w:rPr>
      </w:pPr>
      <w:r>
        <w:rPr>
          <w:rFonts w:ascii="Arial" w:hAnsi="Arial" w:cs="Arial"/>
          <w:color w:val="333333"/>
          <w:sz w:val="21"/>
          <w:szCs w:val="21"/>
        </w:rPr>
        <w:t>Notele de la 1 la 7 şi de la 9 şi 10 sunt reglementate de Decizia directorului general adjunct al Oficiului Român pentru Drepturile de Autor nr. 10/2016</w:t>
      </w:r>
      <w:r>
        <w:rPr>
          <w:rFonts w:ascii="Arial" w:hAnsi="Arial" w:cs="Arial"/>
          <w:color w:val="333333"/>
          <w:sz w:val="21"/>
          <w:szCs w:val="21"/>
        </w:rPr>
        <w:t>.</w:t>
      </w:r>
    </w:p>
    <w:p w:rsidR="00000000" w:rsidRDefault="00985B66">
      <w:pPr>
        <w:pStyle w:val="al"/>
        <w:spacing w:line="345" w:lineRule="atLeast"/>
        <w:rPr>
          <w:rFonts w:ascii="Arial" w:hAnsi="Arial" w:cs="Arial"/>
          <w:color w:val="333333"/>
          <w:sz w:val="21"/>
          <w:szCs w:val="21"/>
        </w:rPr>
      </w:pPr>
      <w:r>
        <w:rPr>
          <w:rFonts w:ascii="Arial" w:hAnsi="Arial" w:cs="Arial"/>
          <w:color w:val="333333"/>
          <w:sz w:val="21"/>
          <w:szCs w:val="21"/>
        </w:rPr>
        <w:t>Nota 8 şi notele de la 13 la 15 sunt reglementate de Deci</w:t>
      </w:r>
      <w:r>
        <w:rPr>
          <w:rFonts w:ascii="Arial" w:hAnsi="Arial" w:cs="Arial"/>
          <w:color w:val="333333"/>
          <w:sz w:val="21"/>
          <w:szCs w:val="21"/>
        </w:rPr>
        <w:t>zia directorului general adjunct al Oficiului Român pentru Drepturile de Autor nr. 120/2016</w:t>
      </w:r>
      <w:r>
        <w:rPr>
          <w:rFonts w:ascii="Arial" w:hAnsi="Arial" w:cs="Arial"/>
          <w:color w:val="333333"/>
          <w:sz w:val="21"/>
          <w:szCs w:val="21"/>
        </w:rPr>
        <w:t>.</w:t>
      </w:r>
    </w:p>
    <w:p w:rsidR="00000000" w:rsidRDefault="00985B66">
      <w:pPr>
        <w:pStyle w:val="al"/>
        <w:spacing w:line="345" w:lineRule="atLeast"/>
        <w:rPr>
          <w:rFonts w:ascii="Arial" w:hAnsi="Arial" w:cs="Arial"/>
          <w:color w:val="333333"/>
          <w:sz w:val="21"/>
          <w:szCs w:val="21"/>
        </w:rPr>
      </w:pPr>
      <w:r>
        <w:rPr>
          <w:rFonts w:ascii="Arial" w:hAnsi="Arial" w:cs="Arial"/>
          <w:color w:val="333333"/>
          <w:sz w:val="21"/>
          <w:szCs w:val="21"/>
        </w:rPr>
        <w:t xml:space="preserve">Notele 11 şi 12 sunt reglementate de Decizia directorului general al Oficiului Român pentru Drepturile de Autor </w:t>
      </w:r>
      <w:hyperlink r:id="rId8" w:tgtFrame="_blank" w:history="1">
        <w:r>
          <w:rPr>
            <w:rStyle w:val="Hyperlink"/>
            <w:rFonts w:ascii="Arial" w:hAnsi="Arial" w:cs="Arial"/>
            <w:sz w:val="21"/>
            <w:szCs w:val="21"/>
          </w:rPr>
          <w:t>nr. 99/2015</w:t>
        </w:r>
      </w:hyperlink>
      <w:r>
        <w:rPr>
          <w:rFonts w:ascii="Arial" w:hAnsi="Arial" w:cs="Arial"/>
          <w:color w:val="333333"/>
          <w:sz w:val="21"/>
          <w:szCs w:val="21"/>
        </w:rPr>
        <w:t>.</w:t>
      </w:r>
    </w:p>
    <w:p w:rsidR="00000000" w:rsidRDefault="00985B66">
      <w:pPr>
        <w:pStyle w:val="al"/>
        <w:spacing w:line="345" w:lineRule="atLeast"/>
        <w:rPr>
          <w:rFonts w:ascii="Arial" w:hAnsi="Arial" w:cs="Arial"/>
          <w:color w:val="333333"/>
          <w:sz w:val="21"/>
          <w:szCs w:val="21"/>
        </w:rPr>
      </w:pPr>
      <w:r>
        <w:rPr>
          <w:rFonts w:ascii="Arial" w:hAnsi="Arial" w:cs="Arial"/>
          <w:color w:val="333333"/>
          <w:sz w:val="21"/>
          <w:szCs w:val="21"/>
        </w:rPr>
        <w:t xml:space="preserve">Toate celelalte dispoziţii ale metodologiilor </w:t>
      </w:r>
      <w:proofErr w:type="gramStart"/>
      <w:r>
        <w:rPr>
          <w:rFonts w:ascii="Arial" w:hAnsi="Arial" w:cs="Arial"/>
          <w:color w:val="333333"/>
          <w:sz w:val="21"/>
          <w:szCs w:val="21"/>
        </w:rPr>
        <w:t>ce</w:t>
      </w:r>
      <w:proofErr w:type="gramEnd"/>
      <w:r>
        <w:rPr>
          <w:rFonts w:ascii="Arial" w:hAnsi="Arial" w:cs="Arial"/>
          <w:color w:val="333333"/>
          <w:sz w:val="21"/>
          <w:szCs w:val="21"/>
        </w:rPr>
        <w:t xml:space="preserve"> fac obiectul deciziilor nr. 10/2016, nr. </w:t>
      </w:r>
      <w:proofErr w:type="gramStart"/>
      <w:r>
        <w:rPr>
          <w:rFonts w:ascii="Arial" w:hAnsi="Arial" w:cs="Arial"/>
          <w:color w:val="333333"/>
          <w:sz w:val="21"/>
          <w:szCs w:val="21"/>
        </w:rPr>
        <w:t>120/2016</w:t>
      </w:r>
      <w:proofErr w:type="gramEnd"/>
      <w:r>
        <w:rPr>
          <w:rFonts w:ascii="Arial" w:hAnsi="Arial" w:cs="Arial"/>
          <w:color w:val="333333"/>
          <w:sz w:val="21"/>
          <w:szCs w:val="21"/>
        </w:rPr>
        <w:t xml:space="preserve"> şi nr. </w:t>
      </w:r>
      <w:proofErr w:type="gramStart"/>
      <w:r>
        <w:rPr>
          <w:rFonts w:ascii="Arial" w:hAnsi="Arial" w:cs="Arial"/>
          <w:color w:val="333333"/>
          <w:sz w:val="21"/>
          <w:szCs w:val="21"/>
        </w:rPr>
        <w:t>99/2015</w:t>
      </w:r>
      <w:proofErr w:type="gramEnd"/>
      <w:r>
        <w:rPr>
          <w:rFonts w:ascii="Arial" w:hAnsi="Arial" w:cs="Arial"/>
          <w:color w:val="333333"/>
          <w:sz w:val="21"/>
          <w:szCs w:val="21"/>
        </w:rPr>
        <w:t xml:space="preserve"> sus-menţionate rămân neschimbate</w:t>
      </w:r>
      <w:r>
        <w:rPr>
          <w:rFonts w:ascii="Arial" w:hAnsi="Arial" w:cs="Arial"/>
          <w:color w:val="333333"/>
          <w:sz w:val="21"/>
          <w:szCs w:val="21"/>
        </w:rPr>
        <w:t>.</w:t>
      </w:r>
    </w:p>
    <w:p w:rsidR="00000000" w:rsidRDefault="00985B66">
      <w:pPr>
        <w:spacing w:line="345" w:lineRule="atLeast"/>
        <w:jc w:val="both"/>
        <w:rPr>
          <w:rFonts w:ascii="Arial" w:eastAsia="Times New Roman" w:hAnsi="Arial" w:cs="Arial"/>
          <w:color w:val="333333"/>
          <w:sz w:val="21"/>
          <w:szCs w:val="21"/>
        </w:rPr>
      </w:pPr>
    </w:p>
    <w:p w:rsidR="00000000" w:rsidRDefault="00985B6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10020" w:type="dxa"/>
        <w:jc w:val="center"/>
        <w:tblCellMar>
          <w:top w:w="15" w:type="dxa"/>
          <w:left w:w="15" w:type="dxa"/>
          <w:bottom w:w="15" w:type="dxa"/>
          <w:right w:w="15" w:type="dxa"/>
        </w:tblCellMar>
        <w:tblLook w:val="04A0" w:firstRow="1" w:lastRow="0" w:firstColumn="1" w:lastColumn="0" w:noHBand="0" w:noVBand="1"/>
      </w:tblPr>
      <w:tblGrid>
        <w:gridCol w:w="14"/>
        <w:gridCol w:w="449"/>
        <w:gridCol w:w="2534"/>
        <w:gridCol w:w="2341"/>
        <w:gridCol w:w="2341"/>
        <w:gridCol w:w="2341"/>
      </w:tblGrid>
      <w:tr w:rsidR="00000000">
        <w:trPr>
          <w:trHeight w:val="13"/>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b/>
                <w:bCs/>
                <w:color w:val="333333"/>
                <w:sz w:val="26"/>
                <w:szCs w:val="26"/>
              </w:rPr>
            </w:pPr>
          </w:p>
        </w:tc>
        <w:tc>
          <w:tcPr>
            <w:tcW w:w="0" w:type="auto"/>
            <w:hideMark/>
          </w:tcPr>
          <w:p w:rsidR="00000000" w:rsidRDefault="00985B66">
            <w:pPr>
              <w:spacing w:line="345" w:lineRule="atLeast"/>
              <w:rPr>
                <w:rFonts w:eastAsia="Times New Roman"/>
                <w:sz w:val="20"/>
                <w:szCs w:val="20"/>
              </w:rPr>
            </w:pPr>
          </w:p>
        </w:tc>
        <w:tc>
          <w:tcPr>
            <w:tcW w:w="0" w:type="auto"/>
            <w:hideMark/>
          </w:tcPr>
          <w:p w:rsidR="00000000" w:rsidRDefault="00985B66">
            <w:pPr>
              <w:spacing w:line="345" w:lineRule="atLeast"/>
              <w:rPr>
                <w:rFonts w:eastAsia="Times New Roman"/>
                <w:sz w:val="20"/>
                <w:szCs w:val="20"/>
              </w:rPr>
            </w:pPr>
          </w:p>
        </w:tc>
        <w:tc>
          <w:tcPr>
            <w:tcW w:w="0" w:type="auto"/>
            <w:hideMark/>
          </w:tcPr>
          <w:p w:rsidR="00000000" w:rsidRDefault="00985B66">
            <w:pPr>
              <w:spacing w:line="345" w:lineRule="atLeast"/>
              <w:rPr>
                <w:rFonts w:eastAsia="Times New Roman"/>
                <w:sz w:val="20"/>
                <w:szCs w:val="20"/>
              </w:rPr>
            </w:pPr>
          </w:p>
        </w:tc>
        <w:tc>
          <w:tcPr>
            <w:tcW w:w="0" w:type="auto"/>
            <w:hideMark/>
          </w:tcPr>
          <w:p w:rsidR="00000000" w:rsidRDefault="00985B66">
            <w:pPr>
              <w:spacing w:line="345" w:lineRule="atLeast"/>
              <w:rPr>
                <w:rFonts w:eastAsia="Times New Roman"/>
                <w:sz w:val="20"/>
                <w:szCs w:val="20"/>
              </w:rPr>
            </w:pPr>
          </w:p>
        </w:tc>
        <w:tc>
          <w:tcPr>
            <w:tcW w:w="0" w:type="auto"/>
            <w:hideMark/>
          </w:tcPr>
          <w:p w:rsidR="00000000" w:rsidRDefault="00985B66">
            <w:pPr>
              <w:spacing w:line="345" w:lineRule="atLeast"/>
              <w:rPr>
                <w:rFonts w:eastAsia="Times New Roman"/>
                <w:sz w:val="20"/>
                <w:szCs w:val="20"/>
              </w:rPr>
            </w:pP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rPr>
                <w:rFonts w:eastAsia="Times New Roman"/>
                <w:sz w:val="20"/>
                <w:szCs w:val="20"/>
              </w:rPr>
            </w:pPr>
          </w:p>
        </w:tc>
        <w:tc>
          <w:tcPr>
            <w:tcW w:w="11325" w:type="dxa"/>
            <w:gridSpan w:val="5"/>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II. Activităţi desfăşurate în regim lucrativ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I1 </w:t>
            </w:r>
          </w:p>
        </w:tc>
        <w:tc>
          <w:tcPr>
            <w:tcW w:w="10785" w:type="dxa"/>
            <w:gridSpan w:val="4"/>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Eveniment, spectacol, turneu, campanie etc. (coloană sonoră)*), **) - spaţii închise sau deschise situate în oraşe, staţiuni turistice, comune şi sate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rPr>
                <w:rFonts w:eastAsia="Times New Roman"/>
                <w:sz w:val="20"/>
                <w:szCs w:val="20"/>
              </w:rPr>
            </w:pPr>
          </w:p>
        </w:tc>
        <w:tc>
          <w:tcPr>
            <w:tcW w:w="2700"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Tip încadrare </w:t>
            </w:r>
          </w:p>
        </w:tc>
        <w:tc>
          <w:tcPr>
            <w:tcW w:w="8100" w:type="dxa"/>
            <w:gridSpan w:val="3"/>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Remuneraţie/eveniment (fără TVA)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ascii="Arial" w:eastAsia="Times New Roman" w:hAnsi="Arial" w:cs="Arial"/>
                <w:color w:val="333333"/>
                <w:sz w:val="18"/>
                <w:szCs w:val="18"/>
              </w:rPr>
            </w:pP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Producători de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w:t>
            </w:r>
            <w:r>
              <w:rPr>
                <w:rFonts w:ascii="Arial" w:eastAsia="Times New Roman" w:hAnsi="Arial" w:cs="Arial"/>
                <w:color w:val="333333"/>
                <w:sz w:val="18"/>
                <w:szCs w:val="18"/>
              </w:rPr>
              <w:t xml:space="preserve">i sau executanţi pentru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audiovizual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Spectacol/Eveniment (festiv, paradă, istoric, sunet şi lumină, sportiv, nautic, aerian etc.)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260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260 lei</w:t>
            </w:r>
            <w:r>
              <w:rPr>
                <w:rFonts w:ascii="Arial" w:eastAsia="Times New Roman" w:hAnsi="Arial" w:cs="Arial"/>
                <w:color w:val="333333"/>
                <w:sz w:val="18"/>
                <w:szCs w:val="18"/>
              </w:rPr>
              <w:t xml:space="preserv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Paradă modă, concurs frumuseţe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3.237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3.237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Salon auto, moto, velo, nautic, asimilate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4.854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4.854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Spectacol cu caracter publicitar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4.854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4.854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Turneu publicitar (4 reprezentaţii)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7.284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7.284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Turneu publicitar (5-8 reprezentaţii)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10.521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10.521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7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Turneu publicitar (peste 9 reprezentaţii)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12.139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12.139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r>
              <w:rPr>
                <w:rFonts w:ascii="Arial" w:eastAsia="Times New Roman" w:hAnsi="Arial" w:cs="Arial"/>
                <w:color w:val="333333"/>
                <w:sz w:val="18"/>
                <w:szCs w:val="18"/>
              </w:rPr>
              <w:t xml:space="preserv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Campanie electorală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13.757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13.757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9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Manifestaţii/Evenimente (altele decât cele precizate mai sus)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647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647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0 lei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I2 </w:t>
            </w:r>
          </w:p>
        </w:tc>
        <w:tc>
          <w:tcPr>
            <w:tcW w:w="10785" w:type="dxa"/>
            <w:gridSpan w:val="4"/>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Club, bar cu program de varietăţi, bar cu program night-club, discotecă, videotecă, restaurant (cu program de varietăţi), cabaret, spaţiu în care funcţionează: tonomat, karaoke, multimedia etc.**), ****) - spaţii închise sau deschise situate în oraşe sau </w:t>
            </w:r>
            <w:r>
              <w:rPr>
                <w:rStyle w:val="Strong"/>
                <w:rFonts w:ascii="Arial" w:eastAsia="Times New Roman" w:hAnsi="Arial" w:cs="Arial"/>
                <w:color w:val="333333"/>
                <w:sz w:val="18"/>
                <w:szCs w:val="18"/>
              </w:rPr>
              <w:t xml:space="preserve">staţiuni turistice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rPr>
                <w:rFonts w:eastAsia="Times New Roman"/>
                <w:sz w:val="20"/>
                <w:szCs w:val="20"/>
              </w:rPr>
            </w:pPr>
          </w:p>
        </w:tc>
        <w:tc>
          <w:tcPr>
            <w:tcW w:w="2700"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Tip încadrare </w:t>
            </w:r>
          </w:p>
        </w:tc>
        <w:tc>
          <w:tcPr>
            <w:tcW w:w="8100" w:type="dxa"/>
            <w:gridSpan w:val="3"/>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Remuneraţie lunară (fără TVA)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ascii="Arial" w:eastAsia="Times New Roman" w:hAnsi="Arial" w:cs="Arial"/>
                <w:color w:val="333333"/>
                <w:sz w:val="18"/>
                <w:szCs w:val="18"/>
              </w:rPr>
            </w:pP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Producători de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audiovizual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Suprafaţă până la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163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163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163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Suprafaţă cuprinsă între 101-200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244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244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244 lei </w:t>
            </w:r>
          </w:p>
        </w:tc>
      </w:tr>
      <w:tr w:rsidR="00000000">
        <w:trPr>
          <w:trHeight w:val="103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Suprafaţă peste 200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244 lei plus 64 lei pentru fiecare suprafaţă suplimentară de până la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244 lei plus 64 lei pentru fiecare suprafaţă suplimentară de până la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w:t>
            </w:r>
            <w:r>
              <w:rPr>
                <w:rFonts w:ascii="Arial" w:eastAsia="Times New Roman" w:hAnsi="Arial" w:cs="Arial"/>
                <w:color w:val="333333"/>
                <w:sz w:val="18"/>
                <w:szCs w:val="18"/>
              </w:rPr>
              <w:t xml:space="preserve"> 244 lei plus 64 lei pentru fiecare suprafaţă suplimentară de până la 100 mp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I3 </w:t>
            </w:r>
          </w:p>
        </w:tc>
        <w:tc>
          <w:tcPr>
            <w:tcW w:w="10785" w:type="dxa"/>
            <w:gridSpan w:val="4"/>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Club, bar cu program de varietăţi, bar cu program night-club, discotecă, videotecă, restaurant (cu program de varietăţi), cabaret, spaţiu în care funcţionează: tonomat, kar</w:t>
            </w:r>
            <w:r>
              <w:rPr>
                <w:rStyle w:val="Strong"/>
                <w:rFonts w:ascii="Arial" w:eastAsia="Times New Roman" w:hAnsi="Arial" w:cs="Arial"/>
                <w:color w:val="333333"/>
                <w:sz w:val="18"/>
                <w:szCs w:val="18"/>
              </w:rPr>
              <w:t xml:space="preserve">aoke, multimedia etc.**), ****) - spaţii închise sau deschise situate în comune şi sate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rPr>
                <w:rFonts w:eastAsia="Times New Roman"/>
                <w:sz w:val="20"/>
                <w:szCs w:val="20"/>
              </w:rPr>
            </w:pPr>
          </w:p>
        </w:tc>
        <w:tc>
          <w:tcPr>
            <w:tcW w:w="2700"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Tip încadrare </w:t>
            </w:r>
          </w:p>
        </w:tc>
        <w:tc>
          <w:tcPr>
            <w:tcW w:w="8100" w:type="dxa"/>
            <w:gridSpan w:val="3"/>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Remuneraţie lunară (fără TVA)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ascii="Arial" w:eastAsia="Times New Roman" w:hAnsi="Arial" w:cs="Arial"/>
                <w:color w:val="333333"/>
                <w:sz w:val="18"/>
                <w:szCs w:val="18"/>
              </w:rPr>
            </w:pP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Producători de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audiovizual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Suprafaţă până la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80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80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80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Suprafaţă cuprinsă între 101-200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w:t>
            </w:r>
            <w:r>
              <w:rPr>
                <w:rFonts w:ascii="Arial" w:eastAsia="Times New Roman" w:hAnsi="Arial" w:cs="Arial"/>
                <w:color w:val="333333"/>
                <w:sz w:val="18"/>
                <w:szCs w:val="18"/>
              </w:rPr>
              <w:t xml:space="preserve">20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120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120 lei </w:t>
            </w:r>
          </w:p>
        </w:tc>
      </w:tr>
      <w:tr w:rsidR="00000000">
        <w:trPr>
          <w:trHeight w:val="103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Suprafaţă peste 200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120 lei plus 33 lei pentru fiecare suprafaţă suplimentară de până la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120 lei plus 33 lei pentru fiecare suprafaţă suplimentară de până la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120 lei plus 33 lei pentru fiecare suprafaţă suplimentară de până la 100 mp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 xml:space="preserve">I4 </w:t>
            </w:r>
          </w:p>
        </w:tc>
        <w:tc>
          <w:tcPr>
            <w:tcW w:w="10785" w:type="dxa"/>
            <w:gridSpan w:val="4"/>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Activitate de DJ, şcoli de dans, balet ş.a.,</w:t>
            </w:r>
            <w:r>
              <w:rPr>
                <w:rStyle w:val="Strong"/>
                <w:rFonts w:ascii="Arial" w:eastAsia="Times New Roman" w:hAnsi="Arial" w:cs="Arial"/>
                <w:color w:val="333333"/>
                <w:sz w:val="18"/>
                <w:szCs w:val="18"/>
              </w:rPr>
              <w:t xml:space="preserve"> sală gimnastică ritmică, aerobic, zumba aerobic, kangoo jump ş.a. - deschise publicului - dotate cu instalaţii de sonorizare*), **), ****) </w:t>
            </w:r>
          </w:p>
        </w:tc>
      </w:tr>
      <w:tr w:rsidR="00000000">
        <w:trPr>
          <w:trHeight w:val="301"/>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rPr>
                <w:rFonts w:eastAsia="Times New Roman"/>
                <w:sz w:val="20"/>
                <w:szCs w:val="20"/>
              </w:rPr>
            </w:pPr>
          </w:p>
        </w:tc>
        <w:tc>
          <w:tcPr>
            <w:tcW w:w="2700" w:type="dxa"/>
            <w:vMerge w:val="restart"/>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Tip încadrare </w:t>
            </w:r>
          </w:p>
        </w:tc>
        <w:tc>
          <w:tcPr>
            <w:tcW w:w="8100" w:type="dxa"/>
            <w:gridSpan w:val="3"/>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Remuneraţie lunară (fără TVA)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985B66">
            <w:pPr>
              <w:spacing w:line="345" w:lineRule="atLeast"/>
              <w:rPr>
                <w:rFonts w:ascii="Arial" w:eastAsia="Times New Roman" w:hAnsi="Arial" w:cs="Arial"/>
                <w:color w:val="333333"/>
                <w:sz w:val="18"/>
                <w:szCs w:val="18"/>
              </w:rPr>
            </w:pP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Producători de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w:t>
            </w:r>
            <w:r>
              <w:rPr>
                <w:rFonts w:ascii="Arial" w:eastAsia="Times New Roman" w:hAnsi="Arial" w:cs="Arial"/>
                <w:color w:val="333333"/>
                <w:sz w:val="18"/>
                <w:szCs w:val="18"/>
              </w:rPr>
              <w:t xml:space="preserve">ţi pentru fonograme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Artişti interpreţi sau executanţi pentru audiovizual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Activitate de DJ***)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41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41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41 lei </w:t>
            </w:r>
          </w:p>
        </w:tc>
      </w:tr>
      <w:tr w:rsidR="00000000">
        <w:trPr>
          <w:trHeight w:val="48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2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Şcoală de dans, balet ş.a. până la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80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80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80 lei </w:t>
            </w:r>
          </w:p>
        </w:tc>
      </w:tr>
      <w:tr w:rsidR="00000000">
        <w:trPr>
          <w:trHeight w:val="1034"/>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Şcoală de dans, balet ş.a. peste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80 lei plus 49 lei pentru fiecare suprafaţă suplimentară de până la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w:t>
            </w:r>
            <w:r>
              <w:rPr>
                <w:rFonts w:ascii="Arial" w:eastAsia="Times New Roman" w:hAnsi="Arial" w:cs="Arial"/>
                <w:color w:val="333333"/>
                <w:sz w:val="18"/>
                <w:szCs w:val="18"/>
              </w:rPr>
              <w:t xml:space="preserve">dar nu mai puţin de 80 lei plus 49 lei pentru fiecare suprafaţă suplimentară de până la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80 lei plus 49 lei pentru fiecare suprafaţă suplimentară de până la 100 mp </w:t>
            </w:r>
          </w:p>
        </w:tc>
      </w:tr>
      <w:tr w:rsidR="00000000">
        <w:trPr>
          <w:trHeight w:val="668"/>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Sală gimnastică ritmică, aerobic, zumba aerobic, kangoo jump ş.a. până la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163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163 lei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163 lei </w:t>
            </w:r>
          </w:p>
        </w:tc>
      </w:tr>
      <w:tr w:rsidR="00000000">
        <w:trPr>
          <w:trHeight w:val="1047"/>
          <w:jc w:val="center"/>
        </w:trPr>
        <w:tc>
          <w:tcPr>
            <w:tcW w:w="0" w:type="auto"/>
            <w:tcMar>
              <w:top w:w="0" w:type="dxa"/>
              <w:left w:w="0" w:type="dxa"/>
              <w:bottom w:w="0" w:type="dxa"/>
              <w:right w:w="0" w:type="dxa"/>
            </w:tcMar>
            <w:hideMark/>
          </w:tcPr>
          <w:p w:rsidR="00000000" w:rsidRDefault="00985B66">
            <w:pPr>
              <w:spacing w:line="345" w:lineRule="atLeast"/>
              <w:jc w:val="center"/>
              <w:rPr>
                <w:rFonts w:ascii="Arial" w:eastAsia="Times New Roman" w:hAnsi="Arial" w:cs="Arial"/>
                <w:color w:val="333333"/>
                <w:sz w:val="18"/>
                <w:szCs w:val="18"/>
              </w:rPr>
            </w:pPr>
          </w:p>
        </w:tc>
        <w:tc>
          <w:tcPr>
            <w:tcW w:w="525"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5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gimnastică ritmică, aerobic, zumba aerobic, kangoo jump ş.a</w:t>
            </w:r>
            <w:r>
              <w:rPr>
                <w:rFonts w:ascii="Arial" w:eastAsia="Times New Roman" w:hAnsi="Arial" w:cs="Arial"/>
                <w:color w:val="333333"/>
                <w:sz w:val="18"/>
                <w:szCs w:val="18"/>
              </w:rPr>
              <w:t xml:space="preserve">. peste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163 lei plus 80 lei pentru fiecare suprafaţă suplimentară de până la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163 lei plus 80 lei pentru fiecare suprafaţă suplimentară de până la 100 mp </w:t>
            </w:r>
          </w:p>
        </w:tc>
        <w:tc>
          <w:tcPr>
            <w:tcW w:w="2700" w:type="dxa"/>
            <w:tcBorders>
              <w:top w:val="single" w:sz="6" w:space="0" w:color="333333"/>
              <w:left w:val="single" w:sz="6" w:space="0" w:color="333333"/>
              <w:bottom w:val="single" w:sz="6" w:space="0" w:color="333333"/>
              <w:right w:val="single" w:sz="6" w:space="0" w:color="333333"/>
            </w:tcBorders>
            <w:hideMark/>
          </w:tcPr>
          <w:p w:rsidR="00000000" w:rsidRDefault="00985B66">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1,5%, dar nu mai puţin de 163 lei </w:t>
            </w:r>
            <w:r>
              <w:rPr>
                <w:rFonts w:ascii="Arial" w:eastAsia="Times New Roman" w:hAnsi="Arial" w:cs="Arial"/>
                <w:color w:val="333333"/>
                <w:sz w:val="18"/>
                <w:szCs w:val="18"/>
              </w:rPr>
              <w:t xml:space="preserve">plus 80 lei pentru fiecare suprafaţă suplimentară de până la 100 mp </w:t>
            </w:r>
          </w:p>
        </w:tc>
      </w:tr>
    </w:tbl>
    <w:p w:rsidR="00000000" w:rsidRDefault="00985B66">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 xml:space="preserve">Utilizatorii au obligaţia </w:t>
      </w:r>
      <w:proofErr w:type="gramStart"/>
      <w:r>
        <w:rPr>
          <w:rFonts w:ascii="Arial" w:hAnsi="Arial" w:cs="Arial"/>
          <w:color w:val="333333"/>
          <w:sz w:val="21"/>
          <w:szCs w:val="21"/>
        </w:rPr>
        <w:t>să</w:t>
      </w:r>
      <w:proofErr w:type="gramEnd"/>
      <w:r>
        <w:rPr>
          <w:rFonts w:ascii="Arial" w:hAnsi="Arial" w:cs="Arial"/>
          <w:color w:val="333333"/>
          <w:sz w:val="21"/>
          <w:szCs w:val="21"/>
        </w:rPr>
        <w:t xml:space="preserve"> precizeze tipul activităţii/manifestaţiei pe care o desfăşoară/organizează, prin completarea declaraţiei pe propria răspundere sau contract în vederea obţinerii autorizaţiei</w:t>
      </w:r>
      <w:r>
        <w:rPr>
          <w:rFonts w:ascii="Arial" w:hAnsi="Arial" w:cs="Arial"/>
          <w:color w:val="333333"/>
          <w:sz w:val="21"/>
          <w:szCs w:val="21"/>
        </w:rPr>
        <w:t>.</w:t>
      </w:r>
    </w:p>
    <w:p w:rsidR="00000000" w:rsidRDefault="00985B66">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Procentele prevăzute la punctele I1, I2, I3 şi I</w:t>
      </w:r>
      <w:r>
        <w:rPr>
          <w:rFonts w:ascii="Arial" w:hAnsi="Arial" w:cs="Arial"/>
          <w:color w:val="333333"/>
          <w:sz w:val="21"/>
          <w:szCs w:val="21"/>
        </w:rPr>
        <w:t>4 se aplică la totalitatea veniturilor brute obţinute din consumaţii şi vânzarea de bilete, abonamente, programe, valoarea materialelor promoţionale etc., iar în lipsa acestora la bugetul de cheltuieli al manifestării, bugetul de cheltuieli pentru campanii</w:t>
      </w:r>
      <w:r>
        <w:rPr>
          <w:rFonts w:ascii="Arial" w:hAnsi="Arial" w:cs="Arial"/>
          <w:color w:val="333333"/>
          <w:sz w:val="21"/>
          <w:szCs w:val="21"/>
        </w:rPr>
        <w:t xml:space="preserve"> de publicitate, promoţionale sau electorale, după caz. În cazul în care remuneraţia lunară rezultată din aplicarea procentului </w:t>
      </w:r>
      <w:proofErr w:type="gramStart"/>
      <w:r>
        <w:rPr>
          <w:rFonts w:ascii="Arial" w:hAnsi="Arial" w:cs="Arial"/>
          <w:color w:val="333333"/>
          <w:sz w:val="21"/>
          <w:szCs w:val="21"/>
        </w:rPr>
        <w:t>este</w:t>
      </w:r>
      <w:proofErr w:type="gramEnd"/>
      <w:r>
        <w:rPr>
          <w:rFonts w:ascii="Arial" w:hAnsi="Arial" w:cs="Arial"/>
          <w:color w:val="333333"/>
          <w:sz w:val="21"/>
          <w:szCs w:val="21"/>
        </w:rPr>
        <w:t xml:space="preserve"> mai mică decât remuneraţia minimă, atunci se va achita remuneraţia minimă, lunară/eveniment</w:t>
      </w:r>
      <w:r>
        <w:rPr>
          <w:rFonts w:ascii="Arial" w:hAnsi="Arial" w:cs="Arial"/>
          <w:color w:val="333333"/>
          <w:sz w:val="21"/>
          <w:szCs w:val="21"/>
        </w:rPr>
        <w:t>.</w:t>
      </w:r>
    </w:p>
    <w:p w:rsidR="00000000" w:rsidRDefault="00985B66">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Autorizaţia pentru DJ se </w:t>
      </w:r>
      <w:r>
        <w:rPr>
          <w:rFonts w:ascii="Arial" w:hAnsi="Arial" w:cs="Arial"/>
          <w:color w:val="333333"/>
          <w:sz w:val="21"/>
          <w:szCs w:val="21"/>
        </w:rPr>
        <w:t>acordă individual fiecărei persoane care prestează o astfel de activitate, indiferent de forma de colaborare cu societatea (angajat, angajat part-time, colaborare etc.)</w:t>
      </w:r>
      <w:r>
        <w:rPr>
          <w:rFonts w:ascii="Arial" w:hAnsi="Arial" w:cs="Arial"/>
          <w:color w:val="333333"/>
          <w:sz w:val="21"/>
          <w:szCs w:val="21"/>
        </w:rPr>
        <w:t>.</w:t>
      </w:r>
    </w:p>
    <w:p w:rsidR="00000000" w:rsidRDefault="00985B66">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La încadrarea în tabel vor fi luate în calcul suprafeţele comerciale (închise sa</w:t>
      </w:r>
      <w:r>
        <w:rPr>
          <w:rFonts w:ascii="Arial" w:hAnsi="Arial" w:cs="Arial"/>
          <w:color w:val="333333"/>
          <w:sz w:val="21"/>
          <w:szCs w:val="21"/>
        </w:rPr>
        <w:t xml:space="preserve">u deschise) utile, inclusiv ringurile de dans. Utilizatorul trebuie </w:t>
      </w:r>
      <w:proofErr w:type="gramStart"/>
      <w:r>
        <w:rPr>
          <w:rFonts w:ascii="Arial" w:hAnsi="Arial" w:cs="Arial"/>
          <w:color w:val="333333"/>
          <w:sz w:val="21"/>
          <w:szCs w:val="21"/>
        </w:rPr>
        <w:t>să</w:t>
      </w:r>
      <w:proofErr w:type="gramEnd"/>
      <w:r>
        <w:rPr>
          <w:rFonts w:ascii="Arial" w:hAnsi="Arial" w:cs="Arial"/>
          <w:color w:val="333333"/>
          <w:sz w:val="21"/>
          <w:szCs w:val="21"/>
        </w:rPr>
        <w:t xml:space="preserve"> achite o remuneraţie distinctă pentru fiecare spaţiu deţinut în parte. </w:t>
      </w:r>
      <w:proofErr w:type="gramStart"/>
      <w:r>
        <w:rPr>
          <w:rFonts w:ascii="Arial" w:hAnsi="Arial" w:cs="Arial"/>
          <w:color w:val="333333"/>
          <w:sz w:val="21"/>
          <w:szCs w:val="21"/>
        </w:rPr>
        <w:t>În cazul în care într-un anumit spaţiu aceeaşi suprafaţă este utilizată pentru mai multe activităţi, remuneraţia c</w:t>
      </w:r>
      <w:r>
        <w:rPr>
          <w:rFonts w:ascii="Arial" w:hAnsi="Arial" w:cs="Arial"/>
          <w:color w:val="333333"/>
          <w:sz w:val="21"/>
          <w:szCs w:val="21"/>
        </w:rPr>
        <w:t>uvenită organismului de gestiune colectivă a drepturilor conexe ale producătorilor de fonograme şi ale artiştilor interpreţi sau executanţi pentru fonograme şi pentru audiovizual pentru comunicarea publică în regim ambiental şi/sau lucrativ se va achita pe</w:t>
      </w:r>
      <w:r>
        <w:rPr>
          <w:rFonts w:ascii="Arial" w:hAnsi="Arial" w:cs="Arial"/>
          <w:color w:val="333333"/>
          <w:sz w:val="21"/>
          <w:szCs w:val="21"/>
        </w:rPr>
        <w:t>ntru fiecare activitate desfăşurată în parte, corespunzătoare fiecărei utilizări, indiferent de numărul acestora.</w:t>
      </w:r>
      <w:proofErr w:type="gramEnd"/>
      <w:r>
        <w:rPr>
          <w:rFonts w:ascii="Arial" w:hAnsi="Arial" w:cs="Arial"/>
          <w:color w:val="333333"/>
          <w:sz w:val="21"/>
          <w:szCs w:val="21"/>
        </w:rPr>
        <w:t xml:space="preserve"> Remuneraţiile echitabile prevăzute în tabele se consideră datorate indiferent de durata efectivă a comunicării publice şi de numărul fonograme</w:t>
      </w:r>
      <w:r>
        <w:rPr>
          <w:rFonts w:ascii="Arial" w:hAnsi="Arial" w:cs="Arial"/>
          <w:color w:val="333333"/>
          <w:sz w:val="21"/>
          <w:szCs w:val="21"/>
        </w:rPr>
        <w:t>lor de comerţ/fonogramelor publicate în scop comercial sau al reproducerilor acestora şi/sau al prestaţiilor artistice din domeniul audiovizual, comunicate public în regim ambiental sau lucrativ</w:t>
      </w:r>
      <w:r>
        <w:rPr>
          <w:rFonts w:ascii="Arial" w:hAnsi="Arial" w:cs="Arial"/>
          <w:color w:val="333333"/>
          <w:sz w:val="21"/>
          <w:szCs w:val="21"/>
        </w:rPr>
        <w:t>.</w:t>
      </w:r>
    </w:p>
    <w:p w:rsidR="00000000" w:rsidRDefault="00985B66">
      <w:pPr>
        <w:pStyle w:val="al"/>
        <w:spacing w:line="345" w:lineRule="atLeast"/>
        <w:rPr>
          <w:rFonts w:ascii="Arial" w:hAnsi="Arial" w:cs="Arial"/>
          <w:color w:val="333333"/>
          <w:sz w:val="21"/>
          <w:szCs w:val="21"/>
        </w:rPr>
      </w:pPr>
      <w:r>
        <w:rPr>
          <w:rFonts w:ascii="Arial" w:hAnsi="Arial" w:cs="Arial"/>
          <w:color w:val="333333"/>
          <w:sz w:val="21"/>
          <w:szCs w:val="21"/>
        </w:rPr>
        <w:t>Notele de la activităţile desfăşurate în regim lucrativ sunt</w:t>
      </w:r>
      <w:r>
        <w:rPr>
          <w:rFonts w:ascii="Arial" w:hAnsi="Arial" w:cs="Arial"/>
          <w:color w:val="333333"/>
          <w:sz w:val="21"/>
          <w:szCs w:val="21"/>
        </w:rPr>
        <w:t xml:space="preserve"> reglementate de Decizia directorului general adjunct al Oficiului Român pentru Drepturile de Autor nr. 10/2016</w:t>
      </w:r>
      <w:r>
        <w:rPr>
          <w:rFonts w:ascii="Arial" w:hAnsi="Arial" w:cs="Arial"/>
          <w:color w:val="333333"/>
          <w:sz w:val="21"/>
          <w:szCs w:val="21"/>
        </w:rPr>
        <w:t>.</w:t>
      </w:r>
    </w:p>
    <w:p w:rsidR="00000000" w:rsidRDefault="00985B66">
      <w:pPr>
        <w:pStyle w:val="al"/>
        <w:spacing w:line="345" w:lineRule="atLeast"/>
        <w:rPr>
          <w:rFonts w:ascii="Arial" w:hAnsi="Arial" w:cs="Arial"/>
          <w:color w:val="333333"/>
          <w:sz w:val="21"/>
          <w:szCs w:val="21"/>
        </w:rPr>
      </w:pPr>
      <w:r>
        <w:rPr>
          <w:rFonts w:ascii="Arial" w:hAnsi="Arial" w:cs="Arial"/>
          <w:color w:val="333333"/>
          <w:sz w:val="21"/>
          <w:szCs w:val="21"/>
        </w:rPr>
        <w:t xml:space="preserve">Toate celelalte dispoziţii ale metodologiilor </w:t>
      </w:r>
      <w:proofErr w:type="gramStart"/>
      <w:r>
        <w:rPr>
          <w:rFonts w:ascii="Arial" w:hAnsi="Arial" w:cs="Arial"/>
          <w:color w:val="333333"/>
          <w:sz w:val="21"/>
          <w:szCs w:val="21"/>
        </w:rPr>
        <w:t>ce</w:t>
      </w:r>
      <w:proofErr w:type="gramEnd"/>
      <w:r>
        <w:rPr>
          <w:rFonts w:ascii="Arial" w:hAnsi="Arial" w:cs="Arial"/>
          <w:color w:val="333333"/>
          <w:sz w:val="21"/>
          <w:szCs w:val="21"/>
        </w:rPr>
        <w:t xml:space="preserve"> fac obiectul deciziilor Oficiului Român pentru Drepturile de Autor nr. 10/2016, nr. </w:t>
      </w:r>
      <w:proofErr w:type="gramStart"/>
      <w:r>
        <w:rPr>
          <w:rFonts w:ascii="Arial" w:hAnsi="Arial" w:cs="Arial"/>
          <w:color w:val="333333"/>
          <w:sz w:val="21"/>
          <w:szCs w:val="21"/>
        </w:rPr>
        <w:t>120/2016</w:t>
      </w:r>
      <w:proofErr w:type="gramEnd"/>
      <w:r>
        <w:rPr>
          <w:rFonts w:ascii="Arial" w:hAnsi="Arial" w:cs="Arial"/>
          <w:color w:val="333333"/>
          <w:sz w:val="21"/>
          <w:szCs w:val="21"/>
        </w:rPr>
        <w:t xml:space="preserve"> ş</w:t>
      </w:r>
      <w:r>
        <w:rPr>
          <w:rFonts w:ascii="Arial" w:hAnsi="Arial" w:cs="Arial"/>
          <w:color w:val="333333"/>
          <w:sz w:val="21"/>
          <w:szCs w:val="21"/>
        </w:rPr>
        <w:t xml:space="preserve">i nr. </w:t>
      </w:r>
      <w:proofErr w:type="gramStart"/>
      <w:r>
        <w:rPr>
          <w:rFonts w:ascii="Arial" w:hAnsi="Arial" w:cs="Arial"/>
          <w:color w:val="333333"/>
          <w:sz w:val="21"/>
          <w:szCs w:val="21"/>
        </w:rPr>
        <w:t>99/2015</w:t>
      </w:r>
      <w:proofErr w:type="gramEnd"/>
      <w:r>
        <w:rPr>
          <w:rFonts w:ascii="Arial" w:hAnsi="Arial" w:cs="Arial"/>
          <w:color w:val="333333"/>
          <w:sz w:val="21"/>
          <w:szCs w:val="21"/>
        </w:rPr>
        <w:t xml:space="preserve"> rămân neschimbate</w:t>
      </w:r>
      <w:r>
        <w:rPr>
          <w:rFonts w:ascii="Arial" w:hAnsi="Arial" w:cs="Arial"/>
          <w:color w:val="333333"/>
          <w:sz w:val="21"/>
          <w:szCs w:val="21"/>
        </w:rPr>
        <w:t>.</w:t>
      </w:r>
    </w:p>
    <w:p w:rsidR="004D569B" w:rsidRDefault="00985B66">
      <w:r>
        <w:rPr>
          <w:rFonts w:ascii="Arial" w:hAnsi="Arial" w:cs="Arial"/>
          <w:color w:val="333333"/>
          <w:sz w:val="21"/>
          <w:szCs w:val="21"/>
        </w:rPr>
        <w:pict w14:anchorId="02057508"/>
      </w:r>
    </w:p>
    <w:sectPr w:rsidR="004D56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69B"/>
    <w:rsid w:val="004D569B"/>
    <w:rsid w:val="00985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1FE10B-8C64-43E7-B397-02AA90D8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2">
    <w:name w:val="heading 2"/>
    <w:basedOn w:val="Normal"/>
    <w:link w:val="Heading2Char"/>
    <w:uiPriority w:val="9"/>
    <w:qFormat/>
    <w:pPr>
      <w:spacing w:after="0" w:line="240" w:lineRule="auto"/>
      <w:jc w:val="both"/>
      <w:outlineLvl w:val="1"/>
    </w:pPr>
    <w:rPr>
      <w:rFonts w:ascii="Times New Roman" w:hAnsi="Times New Roman" w:cs="Times New Roman"/>
      <w:sz w:val="24"/>
      <w:szCs w:val="24"/>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sz w:val="24"/>
      <w:szCs w:val="24"/>
    </w:rPr>
  </w:style>
  <w:style w:type="paragraph" w:styleId="Heading4">
    <w:name w:val="heading 4"/>
    <w:basedOn w:val="Normal"/>
    <w:link w:val="Heading4Char"/>
    <w:uiPriority w:val="9"/>
    <w:qFormat/>
    <w:pPr>
      <w:spacing w:after="0" w:line="240" w:lineRule="auto"/>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2Char">
    <w:name w:val="Heading 2 Char"/>
    <w:basedOn w:val="DefaultParagraphFont"/>
    <w:link w:val="Heading2"/>
    <w:uiPriority w:val="9"/>
    <w:rPr>
      <w:rFonts w:ascii="Times New Roman" w:hAnsi="Times New Roman" w:cs="Times New Roman"/>
      <w:sz w:val="24"/>
      <w:szCs w:val="24"/>
    </w:rPr>
  </w:style>
  <w:style w:type="character" w:customStyle="1" w:styleId="Heading3Char">
    <w:name w:val="Heading 3 Char"/>
    <w:basedOn w:val="DefaultParagraphFont"/>
    <w:link w:val="Heading3"/>
    <w:uiPriority w:val="9"/>
    <w:rPr>
      <w:rFonts w:ascii="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hAnsi="Times New Roman" w:cs="Times New Roman"/>
      <w:b/>
      <w:bCs/>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character" w:styleId="Strong">
    <w:name w:val="Strong"/>
    <w:basedOn w:val="DefaultParagraphFont"/>
    <w:uiPriority w:val="22"/>
    <w:qFormat/>
    <w:rPr>
      <w:b/>
      <w:bCs/>
    </w:rPr>
  </w:style>
  <w:style w:type="paragraph" w:customStyle="1" w:styleId="msonormal0">
    <w:name w:val="msonormal"/>
    <w:basedOn w:val="Normal"/>
    <w:pPr>
      <w:spacing w:after="0" w:line="240" w:lineRule="auto"/>
      <w:jc w:val="both"/>
    </w:pPr>
    <w:rPr>
      <w:rFonts w:ascii="Times New Roman" w:hAnsi="Times New Roman" w:cs="Times New Roman"/>
      <w:sz w:val="24"/>
      <w:szCs w:val="24"/>
    </w:rPr>
  </w:style>
  <w:style w:type="paragraph" w:styleId="NormalWeb">
    <w:name w:val="Normal (Web)"/>
    <w:basedOn w:val="Normal"/>
    <w:uiPriority w:val="99"/>
    <w:semiHidden/>
    <w:unhideWhenUsed/>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Normal"/>
    <w:pPr>
      <w:spacing w:after="0" w:line="240" w:lineRule="auto"/>
      <w:jc w:val="both"/>
    </w:pPr>
    <w:rPr>
      <w:rFonts w:ascii="Times New Roman" w:hAnsi="Times New Roman" w:cs="Times New Roman"/>
      <w:vanish/>
      <w:sz w:val="24"/>
      <w:szCs w:val="24"/>
    </w:rPr>
  </w:style>
  <w:style w:type="paragraph" w:customStyle="1" w:styleId="document-note">
    <w:name w:val="document-note"/>
    <w:basedOn w:val="Normal"/>
    <w:pPr>
      <w:pBdr>
        <w:top w:val="single" w:sz="12" w:space="4" w:color="FFEE58"/>
        <w:left w:val="single" w:sz="12" w:space="8" w:color="FFEE58"/>
        <w:bottom w:val="single" w:sz="12" w:space="4" w:color="FFEE58"/>
        <w:right w:val="single" w:sz="12" w:space="8" w:color="FFEE58"/>
      </w:pBdr>
      <w:shd w:val="clear" w:color="auto" w:fill="FFFFFF"/>
      <w:spacing w:before="75" w:after="75" w:line="240" w:lineRule="auto"/>
      <w:jc w:val="both"/>
    </w:pPr>
    <w:rPr>
      <w:rFonts w:ascii="Times New Roman" w:hAnsi="Times New Roman" w:cs="Times New Roman"/>
      <w:sz w:val="18"/>
      <w:szCs w:val="18"/>
    </w:rPr>
  </w:style>
  <w:style w:type="paragraph" w:customStyle="1" w:styleId="notablewrapper">
    <w:name w:val="notablewrapper"/>
    <w:basedOn w:val="Normal"/>
    <w:pPr>
      <w:spacing w:after="0" w:line="240" w:lineRule="auto"/>
      <w:jc w:val="both"/>
    </w:pPr>
    <w:rPr>
      <w:rFonts w:ascii="Times New Roman" w:hAnsi="Times New Roman" w:cs="Times New Roman"/>
      <w:sz w:val="24"/>
      <w:szCs w:val="24"/>
    </w:rPr>
  </w:style>
  <w:style w:type="paragraph" w:customStyle="1" w:styleId="dateuntil">
    <w:name w:val="date_until"/>
    <w:basedOn w:val="Normal"/>
    <w:pPr>
      <w:spacing w:after="450" w:line="240" w:lineRule="auto"/>
      <w:jc w:val="both"/>
    </w:pPr>
    <w:rPr>
      <w:rFonts w:ascii="Times New Roman" w:hAnsi="Times New Roman" w:cs="Times New Roman"/>
      <w:sz w:val="18"/>
      <w:szCs w:val="18"/>
    </w:rPr>
  </w:style>
  <w:style w:type="paragraph" w:customStyle="1" w:styleId="jumptoart">
    <w:name w:val="jump_to_art"/>
    <w:basedOn w:val="Normal"/>
    <w:pPr>
      <w:spacing w:after="0" w:line="240" w:lineRule="auto"/>
      <w:jc w:val="both"/>
    </w:pPr>
    <w:rPr>
      <w:rFonts w:ascii="Times New Roman" w:hAnsi="Times New Roman" w:cs="Times New Roman"/>
      <w:vanish/>
      <w:sz w:val="24"/>
      <w:szCs w:val="24"/>
    </w:rPr>
  </w:style>
  <w:style w:type="paragraph" w:customStyle="1" w:styleId="quoted">
    <w:name w:val="quoted"/>
    <w:basedOn w:val="Normal"/>
    <w:pPr>
      <w:spacing w:after="0" w:line="240" w:lineRule="auto"/>
      <w:jc w:val="both"/>
    </w:pPr>
    <w:rPr>
      <w:rFonts w:ascii="Times New Roman" w:hAnsi="Times New Roman" w:cs="Times New Roman"/>
      <w:i/>
      <w:iCs/>
      <w:sz w:val="24"/>
      <w:szCs w:val="24"/>
    </w:rPr>
  </w:style>
  <w:style w:type="paragraph" w:customStyle="1" w:styleId="s2">
    <w:name w:val="s_2"/>
    <w:basedOn w:val="Normal"/>
    <w:pPr>
      <w:spacing w:after="300" w:line="240" w:lineRule="auto"/>
      <w:jc w:val="both"/>
    </w:pPr>
    <w:rPr>
      <w:rFonts w:ascii="Times New Roman" w:hAnsi="Times New Roman" w:cs="Times New Roman"/>
      <w:sz w:val="24"/>
      <w:szCs w:val="24"/>
    </w:rPr>
  </w:style>
  <w:style w:type="paragraph" w:customStyle="1" w:styleId="ac">
    <w:name w:val="a_c"/>
    <w:basedOn w:val="Normal"/>
    <w:pPr>
      <w:spacing w:after="0" w:line="240" w:lineRule="auto"/>
      <w:jc w:val="center"/>
    </w:pPr>
    <w:rPr>
      <w:rFonts w:ascii="Times New Roman" w:hAnsi="Times New Roman" w:cs="Times New Roman"/>
      <w:sz w:val="24"/>
      <w:szCs w:val="24"/>
    </w:rPr>
  </w:style>
  <w:style w:type="paragraph" w:customStyle="1" w:styleId="ar">
    <w:name w:val="a_r"/>
    <w:basedOn w:val="Normal"/>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Normal"/>
    <w:pPr>
      <w:spacing w:after="0" w:line="240" w:lineRule="auto"/>
      <w:jc w:val="both"/>
    </w:pPr>
    <w:rPr>
      <w:rFonts w:ascii="Times New Roman" w:hAnsi="Times New Roman" w:cs="Times New Roman"/>
      <w:b/>
      <w:bCs/>
      <w:sz w:val="24"/>
      <w:szCs w:val="24"/>
    </w:rPr>
  </w:style>
  <w:style w:type="paragraph" w:customStyle="1" w:styleId="isapplied">
    <w:name w:val="is_applied"/>
    <w:basedOn w:val="Normal"/>
    <w:pPr>
      <w:spacing w:after="0" w:line="240" w:lineRule="auto"/>
      <w:jc w:val="both"/>
    </w:pPr>
    <w:rPr>
      <w:rFonts w:ascii="Times New Roman" w:hAnsi="Times New Roman" w:cs="Times New Roman"/>
      <w:sz w:val="24"/>
      <w:szCs w:val="24"/>
    </w:rPr>
  </w:style>
  <w:style w:type="paragraph" w:customStyle="1" w:styleId="js-calendar">
    <w:name w:val="js-calendar"/>
    <w:basedOn w:val="Normal"/>
    <w:pPr>
      <w:spacing w:before="45" w:after="45" w:line="240" w:lineRule="auto"/>
      <w:ind w:left="45" w:right="45"/>
      <w:jc w:val="both"/>
    </w:pPr>
    <w:rPr>
      <w:rFonts w:ascii="Times New Roman" w:hAnsi="Times New Roman" w:cs="Times New Roman"/>
      <w:b/>
      <w:bCs/>
      <w:color w:val="008000"/>
      <w:sz w:val="24"/>
      <w:szCs w:val="24"/>
    </w:rPr>
  </w:style>
  <w:style w:type="paragraph" w:customStyle="1" w:styleId="addtotree">
    <w:name w:val="addtotree"/>
    <w:basedOn w:val="Normal"/>
    <w:pPr>
      <w:spacing w:after="750" w:line="240" w:lineRule="auto"/>
      <w:jc w:val="both"/>
    </w:pPr>
    <w:rPr>
      <w:rFonts w:ascii="Times New Roman" w:hAnsi="Times New Roman" w:cs="Times New Roman"/>
      <w:sz w:val="24"/>
      <w:szCs w:val="24"/>
    </w:rPr>
  </w:style>
  <w:style w:type="paragraph" w:customStyle="1" w:styleId="pdffooter">
    <w:name w:val="pdf_footer"/>
    <w:basedOn w:val="Normal"/>
    <w:pPr>
      <w:spacing w:after="0" w:line="240" w:lineRule="auto"/>
      <w:jc w:val="both"/>
    </w:pPr>
    <w:rPr>
      <w:rFonts w:ascii="Arial" w:hAnsi="Arial" w:cs="Arial"/>
      <w:sz w:val="14"/>
      <w:szCs w:val="14"/>
    </w:rPr>
  </w:style>
  <w:style w:type="paragraph" w:customStyle="1" w:styleId="t45">
    <w:name w:val="t_45"/>
    <w:basedOn w:val="Normal"/>
    <w:pPr>
      <w:spacing w:after="0" w:line="240" w:lineRule="auto"/>
      <w:jc w:val="both"/>
    </w:pPr>
    <w:rPr>
      <w:rFonts w:ascii="Times New Roman" w:hAnsi="Times New Roman" w:cs="Times New Roman"/>
      <w:sz w:val="24"/>
      <w:szCs w:val="24"/>
    </w:rPr>
  </w:style>
  <w:style w:type="paragraph" w:customStyle="1" w:styleId="t46">
    <w:name w:val="t_46"/>
    <w:basedOn w:val="Normal"/>
    <w:pPr>
      <w:spacing w:after="0" w:line="240" w:lineRule="auto"/>
      <w:jc w:val="both"/>
    </w:pPr>
    <w:rPr>
      <w:rFonts w:ascii="Times New Roman" w:hAnsi="Times New Roman" w:cs="Times New Roman"/>
      <w:sz w:val="24"/>
      <w:szCs w:val="24"/>
    </w:rPr>
  </w:style>
  <w:style w:type="paragraph" w:customStyle="1" w:styleId="smallgray">
    <w:name w:val="small_gray"/>
    <w:basedOn w:val="Normal"/>
    <w:pPr>
      <w:spacing w:after="0" w:line="240" w:lineRule="auto"/>
      <w:jc w:val="both"/>
    </w:pPr>
    <w:rPr>
      <w:rFonts w:ascii="Times New Roman" w:hAnsi="Times New Roman" w:cs="Times New Roman"/>
      <w:sz w:val="24"/>
      <w:szCs w:val="24"/>
    </w:rPr>
  </w:style>
  <w:style w:type="paragraph" w:customStyle="1" w:styleId="sharedlist">
    <w:name w:val="shared_list"/>
    <w:basedOn w:val="Normal"/>
    <w:pPr>
      <w:spacing w:after="0" w:line="240" w:lineRule="auto"/>
      <w:jc w:val="both"/>
    </w:pPr>
    <w:rPr>
      <w:rFonts w:ascii="Times New Roman" w:hAnsi="Times New Roman" w:cs="Times New Roman"/>
      <w:sz w:val="24"/>
      <w:szCs w:val="24"/>
    </w:rPr>
  </w:style>
  <w:style w:type="paragraph" w:customStyle="1" w:styleId="waitapprove">
    <w:name w:val="wait_approve"/>
    <w:basedOn w:val="Normal"/>
    <w:pPr>
      <w:spacing w:after="0" w:line="240" w:lineRule="auto"/>
      <w:jc w:val="both"/>
    </w:pPr>
    <w:rPr>
      <w:rFonts w:ascii="Times New Roman" w:hAnsi="Times New Roman" w:cs="Times New Roman"/>
      <w:sz w:val="24"/>
      <w:szCs w:val="24"/>
    </w:rPr>
  </w:style>
  <w:style w:type="paragraph" w:customStyle="1" w:styleId="document-noterate">
    <w:name w:val="document-note_rate"/>
    <w:basedOn w:val="Normal"/>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Normal"/>
    <w:pPr>
      <w:spacing w:after="0" w:line="240" w:lineRule="auto"/>
      <w:jc w:val="both"/>
    </w:pPr>
    <w:rPr>
      <w:rFonts w:ascii="Times New Roman" w:hAnsi="Times New Roman" w:cs="Times New Roman"/>
      <w:sz w:val="24"/>
      <w:szCs w:val="24"/>
    </w:rPr>
  </w:style>
  <w:style w:type="paragraph" w:customStyle="1" w:styleId="open">
    <w:name w:val="open"/>
    <w:basedOn w:val="Normal"/>
    <w:pPr>
      <w:spacing w:after="0" w:line="240" w:lineRule="auto"/>
      <w:jc w:val="both"/>
    </w:pPr>
    <w:rPr>
      <w:rFonts w:ascii="Times New Roman" w:hAnsi="Times New Roman" w:cs="Times New Roman"/>
      <w:sz w:val="24"/>
      <w:szCs w:val="24"/>
    </w:rPr>
  </w:style>
  <w:style w:type="paragraph" w:customStyle="1" w:styleId="btnclose">
    <w:name w:val="btn_close"/>
    <w:basedOn w:val="Normal"/>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Normal"/>
    <w:pPr>
      <w:spacing w:after="0" w:line="240" w:lineRule="auto"/>
      <w:jc w:val="both"/>
    </w:pPr>
    <w:rPr>
      <w:rFonts w:ascii="Times New Roman" w:hAnsi="Times New Roman" w:cs="Times New Roman"/>
      <w:sz w:val="24"/>
      <w:szCs w:val="24"/>
    </w:rPr>
  </w:style>
  <w:style w:type="paragraph" w:customStyle="1" w:styleId="cmt">
    <w:name w:val="cmt"/>
    <w:basedOn w:val="Normal"/>
    <w:pPr>
      <w:spacing w:after="0" w:line="240" w:lineRule="auto"/>
      <w:jc w:val="both"/>
    </w:pPr>
    <w:rPr>
      <w:rFonts w:ascii="Times New Roman" w:hAnsi="Times New Roman" w:cs="Times New Roman"/>
      <w:sz w:val="24"/>
      <w:szCs w:val="24"/>
    </w:rPr>
  </w:style>
  <w:style w:type="paragraph" w:customStyle="1" w:styleId="cmg">
    <w:name w:val="cmg"/>
    <w:basedOn w:val="Normal"/>
    <w:pPr>
      <w:spacing w:after="0" w:line="240" w:lineRule="auto"/>
      <w:jc w:val="both"/>
    </w:pPr>
    <w:rPr>
      <w:rFonts w:ascii="Times New Roman" w:hAnsi="Times New Roman" w:cs="Times New Roman"/>
      <w:sz w:val="24"/>
      <w:szCs w:val="24"/>
    </w:rPr>
  </w:style>
  <w:style w:type="paragraph" w:customStyle="1" w:styleId="smallgray1">
    <w:name w:val="small_gray1"/>
    <w:basedOn w:val="Normal"/>
    <w:pPr>
      <w:spacing w:after="0" w:line="240" w:lineRule="auto"/>
      <w:jc w:val="both"/>
    </w:pPr>
    <w:rPr>
      <w:rFonts w:ascii="Times New Roman" w:hAnsi="Times New Roman" w:cs="Times New Roman"/>
      <w:color w:val="999999"/>
      <w:sz w:val="17"/>
      <w:szCs w:val="17"/>
    </w:rPr>
  </w:style>
  <w:style w:type="paragraph" w:customStyle="1" w:styleId="sharedlist1">
    <w:name w:val="shared_list1"/>
    <w:basedOn w:val="Normal"/>
    <w:pPr>
      <w:spacing w:after="0" w:line="240" w:lineRule="auto"/>
      <w:jc w:val="both"/>
    </w:pPr>
    <w:rPr>
      <w:rFonts w:ascii="Times New Roman" w:hAnsi="Times New Roman" w:cs="Times New Roman"/>
      <w:vanish/>
      <w:sz w:val="24"/>
      <w:szCs w:val="24"/>
    </w:rPr>
  </w:style>
  <w:style w:type="paragraph" w:customStyle="1" w:styleId="waitapprove1">
    <w:name w:val="wait_approve1"/>
    <w:basedOn w:val="Normal"/>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Normal"/>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Normal"/>
    <w:pPr>
      <w:spacing w:after="0" w:line="240" w:lineRule="auto"/>
      <w:jc w:val="both"/>
    </w:pPr>
    <w:rPr>
      <w:rFonts w:ascii="Times New Roman" w:hAnsi="Times New Roman" w:cs="Times New Roman"/>
      <w:sz w:val="24"/>
      <w:szCs w:val="24"/>
      <w:u w:val="single"/>
    </w:rPr>
  </w:style>
  <w:style w:type="paragraph" w:customStyle="1" w:styleId="open1">
    <w:name w:val="open1"/>
    <w:basedOn w:val="Normal"/>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Normal"/>
    <w:pPr>
      <w:spacing w:after="0" w:line="240" w:lineRule="auto"/>
      <w:ind w:left="300"/>
      <w:jc w:val="both"/>
    </w:pPr>
    <w:rPr>
      <w:rFonts w:ascii="Times New Roman" w:hAnsi="Times New Roman" w:cs="Times New Roman"/>
      <w:b/>
      <w:bCs/>
      <w:sz w:val="24"/>
      <w:szCs w:val="24"/>
    </w:rPr>
  </w:style>
  <w:style w:type="paragraph" w:customStyle="1" w:styleId="btnclose1">
    <w:name w:val="btn_close1"/>
    <w:basedOn w:val="Normal"/>
    <w:pPr>
      <w:spacing w:after="0" w:line="240" w:lineRule="auto"/>
      <w:ind w:hanging="18913"/>
      <w:jc w:val="both"/>
    </w:pPr>
    <w:rPr>
      <w:rFonts w:ascii="Times New Roman" w:hAnsi="Times New Roman" w:cs="Times New Roman"/>
      <w:vanish/>
      <w:sz w:val="24"/>
      <w:szCs w:val="24"/>
    </w:rPr>
  </w:style>
  <w:style w:type="paragraph" w:customStyle="1" w:styleId="nomenclature-content1">
    <w:name w:val="nomenclature-content1"/>
    <w:basedOn w:val="Normal"/>
    <w:pPr>
      <w:pBdr>
        <w:top w:val="single" w:sz="18" w:space="8" w:color="FFA64D"/>
        <w:left w:val="single" w:sz="18" w:space="8" w:color="FFA64D"/>
        <w:bottom w:val="single" w:sz="18" w:space="8" w:color="FFA64D"/>
        <w:right w:val="single" w:sz="18" w:space="8" w:color="FFA64D"/>
      </w:pBdr>
      <w:spacing w:before="150" w:after="0" w:line="240" w:lineRule="auto"/>
      <w:jc w:val="both"/>
    </w:pPr>
    <w:rPr>
      <w:rFonts w:ascii="Times New Roman" w:hAnsi="Times New Roman" w:cs="Times New Roman"/>
      <w:vanish/>
      <w:sz w:val="24"/>
      <w:szCs w:val="24"/>
    </w:rPr>
  </w:style>
  <w:style w:type="paragraph" w:customStyle="1" w:styleId="t451">
    <w:name w:val="t_451"/>
    <w:basedOn w:val="Normal"/>
    <w:pPr>
      <w:spacing w:before="150" w:after="0" w:line="240" w:lineRule="auto"/>
      <w:jc w:val="both"/>
    </w:pPr>
    <w:rPr>
      <w:rFonts w:ascii="Times New Roman" w:hAnsi="Times New Roman" w:cs="Times New Roman"/>
      <w:i/>
      <w:iCs/>
      <w:sz w:val="24"/>
      <w:szCs w:val="24"/>
    </w:rPr>
  </w:style>
  <w:style w:type="paragraph" w:customStyle="1" w:styleId="t461">
    <w:name w:val="t_461"/>
    <w:basedOn w:val="Normal"/>
    <w:pPr>
      <w:spacing w:after="0" w:line="240" w:lineRule="auto"/>
      <w:jc w:val="both"/>
    </w:pPr>
    <w:rPr>
      <w:rFonts w:ascii="Times New Roman" w:hAnsi="Times New Roman" w:cs="Times New Roman"/>
      <w:sz w:val="24"/>
      <w:szCs w:val="24"/>
    </w:rPr>
  </w:style>
  <w:style w:type="paragraph" w:customStyle="1" w:styleId="cmt1">
    <w:name w:val="cmt1"/>
    <w:basedOn w:val="Normal"/>
    <w:pPr>
      <w:spacing w:after="0" w:line="240" w:lineRule="auto"/>
      <w:jc w:val="both"/>
    </w:pPr>
    <w:rPr>
      <w:rFonts w:ascii="Times New Roman" w:hAnsi="Times New Roman" w:cs="Times New Roman"/>
      <w:color w:val="339966"/>
      <w:sz w:val="24"/>
      <w:szCs w:val="24"/>
    </w:rPr>
  </w:style>
  <w:style w:type="paragraph" w:customStyle="1" w:styleId="cmg1">
    <w:name w:val="cmg1"/>
    <w:basedOn w:val="Normal"/>
    <w:pPr>
      <w:spacing w:after="0" w:line="240" w:lineRule="auto"/>
      <w:jc w:val="both"/>
    </w:pPr>
    <w:rPr>
      <w:rFonts w:ascii="Times New Roman" w:hAnsi="Times New Roman" w:cs="Times New Roman"/>
      <w:color w:val="339966"/>
      <w:sz w:val="20"/>
      <w:szCs w:val="20"/>
    </w:rPr>
  </w:style>
  <w:style w:type="paragraph" w:customStyle="1" w:styleId="cmg2">
    <w:name w:val="cmg2"/>
    <w:basedOn w:val="Normal"/>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DefaultParagraphFont"/>
  </w:style>
  <w:style w:type="character" w:customStyle="1" w:styleId="js-calendar1">
    <w:name w:val="js-calendar1"/>
    <w:basedOn w:val="DefaultParagraphFont"/>
    <w:rPr>
      <w:b/>
      <w:bCs/>
      <w:color w:val="008000"/>
    </w:rPr>
  </w:style>
  <w:style w:type="paragraph" w:customStyle="1" w:styleId="al">
    <w:name w:val="a_l"/>
    <w:basedOn w:val="Normal"/>
    <w:pPr>
      <w:spacing w:after="0" w:line="240" w:lineRule="auto"/>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253862">
      <w:marLeft w:val="0"/>
      <w:marRight w:val="0"/>
      <w:marTop w:val="0"/>
      <w:marBottom w:val="75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haydsmzqhe/decizia-nr-99-2015-privind-publicarea-in-monitorul-oficial-al-romaniei-partea-i-a-protocolului-incheiat-in-data-de-22-septembrie-2015-intre-uniunea-producatorilor-de-fonograme-din-romania-upfr-si-cent?d=2026-02-11" TargetMode="External"/><Relationship Id="rId3" Type="http://schemas.openxmlformats.org/officeDocument/2006/relationships/webSettings" Target="webSettings.xml"/><Relationship Id="rId7" Type="http://schemas.openxmlformats.org/officeDocument/2006/relationships/hyperlink" Target="http://lege5.ro/App/Document/ge3dgnbsgi2ta/decizia-nr-43-2025-privind-modificarea-pe-baza-indicelui-de-inflatie-stabilit-la-nivel-national-a-remuneratiilor-cuvenite-artistilor-interpreti-sau-executanti-si-producatorilor-de-fonograme-prevazute-?d=2026-02-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e5.ro/App/Document/ha2dkmru/hotararea-nr-401-2006-privind-organizarea-functionarea-structura-personalului-si-dotarile-necesare-indeplinirii-atributiilor-oficiului-roman-pentru-drepturile-de-autor?pid=11529021&amp;d=2026-02-11" TargetMode="External"/><Relationship Id="rId5" Type="http://schemas.openxmlformats.org/officeDocument/2006/relationships/hyperlink" Target="http://lege5.ro/App/Document/gi4dinrqg4ya/legea-nr-8-1996-privind-dreptul-de-autor-si-drepturile-conexe?pid=260819563&amp;d=2026-02-11" TargetMode="External"/><Relationship Id="rId10" Type="http://schemas.openxmlformats.org/officeDocument/2006/relationships/theme" Target="theme/theme1.xml"/><Relationship Id="rId4" Type="http://schemas.openxmlformats.org/officeDocument/2006/relationships/hyperlink" Target="http://lege5.ro/App/Document/gi4dinrqg4ya/legea-nr-8-1996-privind-dreptul-de-autor-si-drepturile-conexe?pid=260819394&amp;d=2026-02-1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6900</Words>
  <Characters>39332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Anamaria POJOGA</dc:creator>
  <cp:lastModifiedBy>Anamaria POJOGA</cp:lastModifiedBy>
  <cp:revision>2</cp:revision>
  <dcterms:created xsi:type="dcterms:W3CDTF">2026-02-11T11:49:00Z</dcterms:created>
  <dcterms:modified xsi:type="dcterms:W3CDTF">2026-02-11T11:49:00Z</dcterms:modified>
</cp:coreProperties>
</file>